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8AE9" w14:textId="77777777" w:rsidR="00681081" w:rsidRPr="00B07525" w:rsidRDefault="00681081" w:rsidP="005A0A3F">
      <w:pPr>
        <w:rPr>
          <w:sz w:val="16"/>
          <w:szCs w:val="16"/>
        </w:rPr>
      </w:pPr>
    </w:p>
    <w:tbl>
      <w:tblPr>
        <w:tblStyle w:val="BHPBFormTableStyle"/>
        <w:tblW w:w="10800" w:type="dxa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CellMar>
          <w:top w:w="72" w:type="dxa"/>
          <w:left w:w="115" w:type="dxa"/>
          <w:bottom w:w="29" w:type="dxa"/>
          <w:right w:w="115" w:type="dxa"/>
        </w:tblCellMar>
        <w:tblLook w:val="0680" w:firstRow="0" w:lastRow="0" w:firstColumn="1" w:lastColumn="0" w:noHBand="1" w:noVBand="1"/>
      </w:tblPr>
      <w:tblGrid>
        <w:gridCol w:w="2340"/>
        <w:gridCol w:w="2250"/>
        <w:gridCol w:w="2250"/>
        <w:gridCol w:w="3960"/>
      </w:tblGrid>
      <w:tr w:rsidR="00681081" w:rsidRPr="00D71D75" w14:paraId="21803D75" w14:textId="77777777" w:rsidTr="00A10E05">
        <w:trPr>
          <w:trHeight w:val="475"/>
        </w:trPr>
        <w:tc>
          <w:tcPr>
            <w:tcW w:w="2340" w:type="dxa"/>
            <w:shd w:val="clear" w:color="auto" w:fill="auto"/>
          </w:tcPr>
          <w:p w14:paraId="68AD5E5B" w14:textId="77777777" w:rsidR="00681081" w:rsidRDefault="00681081" w:rsidP="00C649AC">
            <w:pPr>
              <w:rPr>
                <w:b/>
                <w:i/>
                <w:color w:val="E85100" w:themeColor="accent1"/>
                <w:sz w:val="18"/>
              </w:rPr>
            </w:pPr>
            <w:r>
              <w:rPr>
                <w:b/>
                <w:i/>
                <w:color w:val="E85100" w:themeColor="accent1"/>
                <w:sz w:val="18"/>
              </w:rPr>
              <w:t>Identificador único</w:t>
            </w:r>
          </w:p>
          <w:p w14:paraId="48AEE43C" w14:textId="389EC1BE" w:rsidR="00E9045F" w:rsidRPr="00E9045F" w:rsidRDefault="00E9045F" w:rsidP="00C649AC">
            <w:pPr>
              <w:rPr>
                <w:sz w:val="14"/>
                <w:szCs w:val="14"/>
              </w:rPr>
            </w:pPr>
            <w:r w:rsidRPr="00E9045F">
              <w:rPr>
                <w:b/>
                <w:i/>
                <w:color w:val="5A7E92" w:themeColor="accent2"/>
                <w:sz w:val="14"/>
                <w:szCs w:val="14"/>
              </w:rPr>
              <w:t>(Unique Identifier)</w:t>
            </w:r>
          </w:p>
        </w:tc>
        <w:tc>
          <w:tcPr>
            <w:tcW w:w="2250" w:type="dxa"/>
            <w:vAlign w:val="top"/>
          </w:tcPr>
          <w:p w14:paraId="5194632D" w14:textId="77777777" w:rsidR="00E9045F" w:rsidRDefault="00681081" w:rsidP="00C649AC">
            <w:pPr>
              <w:rPr>
                <w:sz w:val="18"/>
              </w:rPr>
            </w:pPr>
            <w:r>
              <w:rPr>
                <w:sz w:val="18"/>
              </w:rPr>
              <w:t>No. de permiso:</w:t>
            </w:r>
          </w:p>
          <w:p w14:paraId="7876B898" w14:textId="261294B6" w:rsidR="00681081" w:rsidRPr="00E9045F" w:rsidRDefault="00E9045F" w:rsidP="00C649AC">
            <w:pPr>
              <w:rPr>
                <w:i/>
                <w:color w:val="5A7E92" w:themeColor="accent2"/>
                <w:sz w:val="14"/>
                <w:szCs w:val="14"/>
              </w:rPr>
            </w:pPr>
            <w:r w:rsidRPr="00E9045F">
              <w:rPr>
                <w:i/>
                <w:color w:val="5A7E92" w:themeColor="accent2"/>
                <w:sz w:val="14"/>
                <w:szCs w:val="14"/>
              </w:rPr>
              <w:t>(</w:t>
            </w:r>
            <w:r w:rsidR="00B352B2">
              <w:rPr>
                <w:i/>
                <w:color w:val="5A7E92" w:themeColor="accent2"/>
                <w:sz w:val="14"/>
                <w:szCs w:val="14"/>
              </w:rPr>
              <w:t>Permit No.)</w:t>
            </w:r>
          </w:p>
          <w:p w14:paraId="7D94A783" w14:textId="77777777" w:rsidR="00681081" w:rsidRPr="00D71D75" w:rsidRDefault="00681081" w:rsidP="00C649A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4BBBFA8C" w14:textId="05879BC3" w:rsidR="00B352B2" w:rsidRDefault="00681081" w:rsidP="00C649AC">
            <w:pPr>
              <w:rPr>
                <w:sz w:val="16"/>
              </w:rPr>
            </w:pPr>
            <w:r w:rsidRPr="00B25AA4">
              <w:rPr>
                <w:sz w:val="16"/>
              </w:rPr>
              <w:t xml:space="preserve">No. de certificado de aislamiento: </w:t>
            </w:r>
          </w:p>
          <w:p w14:paraId="3E6F4595" w14:textId="4DCD3261" w:rsidR="00B352B2" w:rsidRPr="00B352B2" w:rsidRDefault="00B352B2" w:rsidP="00C649AC">
            <w:pPr>
              <w:rPr>
                <w:b/>
                <w:i/>
                <w:color w:val="5A7E92" w:themeColor="accent2"/>
                <w:sz w:val="14"/>
                <w:szCs w:val="14"/>
              </w:rPr>
            </w:pPr>
            <w:r w:rsidRPr="00B352B2">
              <w:rPr>
                <w:b/>
                <w:i/>
                <w:color w:val="5A7E92" w:themeColor="accent2"/>
                <w:sz w:val="14"/>
                <w:szCs w:val="14"/>
              </w:rPr>
              <w:t>(Isolation Certificate No.)</w:t>
            </w:r>
          </w:p>
          <w:p w14:paraId="3C8400CF" w14:textId="77777777" w:rsidR="00681081" w:rsidRPr="00B25AA4" w:rsidRDefault="00681081" w:rsidP="00C649AC">
            <w:pPr>
              <w:rPr>
                <w:sz w:val="16"/>
              </w:rPr>
            </w:pPr>
            <w:r w:rsidRPr="00B25AA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AA4">
              <w:rPr>
                <w:sz w:val="16"/>
              </w:rPr>
              <w:instrText xml:space="preserve"> FORMTEXT </w:instrText>
            </w:r>
            <w:r w:rsidRPr="00B25AA4">
              <w:rPr>
                <w:sz w:val="16"/>
              </w:rPr>
            </w:r>
            <w:r w:rsidRPr="00B25AA4">
              <w:rPr>
                <w:sz w:val="16"/>
              </w:rPr>
              <w:fldChar w:fldCharType="separate"/>
            </w:r>
            <w:r w:rsidRPr="00B25AA4">
              <w:rPr>
                <w:noProof/>
                <w:sz w:val="16"/>
              </w:rPr>
              <w:t>     </w:t>
            </w:r>
            <w:r w:rsidRPr="00B25AA4">
              <w:rPr>
                <w:sz w:val="16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top"/>
          </w:tcPr>
          <w:p w14:paraId="2F1FD85F" w14:textId="77777777" w:rsidR="00A10E05" w:rsidRDefault="00A10E05" w:rsidP="00C649AC">
            <w:pPr>
              <w:rPr>
                <w:sz w:val="18"/>
              </w:rPr>
            </w:pPr>
            <w:r>
              <w:rPr>
                <w:sz w:val="18"/>
              </w:rPr>
              <w:t xml:space="preserve">Otra </w:t>
            </w:r>
            <w:proofErr w:type="gramStart"/>
            <w:r>
              <w:rPr>
                <w:sz w:val="18"/>
              </w:rPr>
              <w:t>referencia:_</w:t>
            </w:r>
            <w:proofErr w:type="gramEnd"/>
            <w:r>
              <w:rPr>
                <w:sz w:val="18"/>
              </w:rPr>
              <w:t xml:space="preserve">______________________ </w:t>
            </w:r>
          </w:p>
          <w:p w14:paraId="5412977E" w14:textId="5EE0D274" w:rsidR="00B352B2" w:rsidRPr="00B352B2" w:rsidRDefault="00B352B2" w:rsidP="00C649AC">
            <w:pPr>
              <w:rPr>
                <w:b/>
                <w:i/>
                <w:color w:val="5A7E92" w:themeColor="accent2"/>
                <w:sz w:val="14"/>
                <w:szCs w:val="14"/>
              </w:rPr>
            </w:pPr>
            <w:r w:rsidRPr="00B352B2">
              <w:rPr>
                <w:b/>
                <w:i/>
                <w:color w:val="5A7E92" w:themeColor="accent2"/>
                <w:sz w:val="14"/>
                <w:szCs w:val="14"/>
              </w:rPr>
              <w:t>(</w:t>
            </w:r>
            <w:r>
              <w:rPr>
                <w:b/>
                <w:i/>
                <w:color w:val="5A7E92" w:themeColor="accent2"/>
                <w:sz w:val="14"/>
                <w:szCs w:val="14"/>
              </w:rPr>
              <w:t>Other Reference</w:t>
            </w:r>
            <w:r w:rsidRPr="00B352B2">
              <w:rPr>
                <w:b/>
                <w:i/>
                <w:color w:val="5A7E92" w:themeColor="accent2"/>
                <w:sz w:val="14"/>
                <w:szCs w:val="14"/>
              </w:rPr>
              <w:t>)</w:t>
            </w:r>
          </w:p>
          <w:p w14:paraId="73BC7FD0" w14:textId="77777777" w:rsidR="00681081" w:rsidRPr="00D71D75" w:rsidRDefault="00681081" w:rsidP="00C649A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</w:tbl>
    <w:p w14:paraId="4FC284C0" w14:textId="77777777" w:rsidR="00681081" w:rsidRPr="00B07525" w:rsidRDefault="00681081" w:rsidP="005A0A3F">
      <w:pPr>
        <w:rPr>
          <w:sz w:val="16"/>
          <w:szCs w:val="16"/>
        </w:rPr>
      </w:pPr>
    </w:p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1710"/>
        <w:gridCol w:w="3690"/>
        <w:gridCol w:w="5370"/>
      </w:tblGrid>
      <w:tr w:rsidR="00681081" w:rsidRPr="00B96493" w14:paraId="5CE78696" w14:textId="77777777" w:rsidTr="00A10E05">
        <w:trPr>
          <w:trHeight w:val="360"/>
        </w:trPr>
        <w:tc>
          <w:tcPr>
            <w:tcW w:w="10770" w:type="dxa"/>
            <w:gridSpan w:val="3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746B8C05" w14:textId="77777777" w:rsidR="00681081" w:rsidRPr="005D75A4" w:rsidRDefault="00681081" w:rsidP="00C649A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Información general</w:t>
            </w:r>
          </w:p>
        </w:tc>
      </w:tr>
      <w:tr w:rsidR="00681081" w14:paraId="2BBAFF99" w14:textId="77777777" w:rsidTr="004649EE">
        <w:tblPrEx>
          <w:tblLook w:val="06A0" w:firstRow="1" w:lastRow="0" w:firstColumn="1" w:lastColumn="0" w:noHBand="1" w:noVBand="1"/>
        </w:tblPrEx>
        <w:trPr>
          <w:trHeight w:val="863"/>
        </w:trPr>
        <w:tc>
          <w:tcPr>
            <w:tcW w:w="1710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5DB6FDB4" w14:textId="77777777" w:rsidR="00681081" w:rsidRDefault="00681081" w:rsidP="00B25AA4">
            <w:pPr>
              <w:pStyle w:val="BHPBTableSubheading"/>
            </w:pPr>
            <w:r>
              <w:t xml:space="preserve">Descripción </w:t>
            </w:r>
            <w:r w:rsidR="00B25AA4">
              <w:t>d</w:t>
            </w:r>
            <w:r>
              <w:t>el trabajo:</w:t>
            </w:r>
          </w:p>
          <w:p w14:paraId="3923228D" w14:textId="44D7A650" w:rsidR="00B352B2" w:rsidRPr="00B352B2" w:rsidRDefault="00B352B2" w:rsidP="00B25AA4">
            <w:pPr>
              <w:pStyle w:val="BHPBTableSubheading"/>
              <w:rPr>
                <w:i/>
                <w:sz w:val="16"/>
                <w:szCs w:val="16"/>
              </w:rPr>
            </w:pPr>
            <w:r w:rsidRPr="00B352B2">
              <w:rPr>
                <w:i/>
                <w:color w:val="5A7E92" w:themeColor="accent2"/>
                <w:sz w:val="16"/>
                <w:szCs w:val="16"/>
              </w:rPr>
              <w:t>(Work Description)</w:t>
            </w:r>
          </w:p>
        </w:tc>
        <w:tc>
          <w:tcPr>
            <w:tcW w:w="9060" w:type="dxa"/>
            <w:gridSpan w:val="2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FFFFFF" w:themeFill="background1"/>
          </w:tcPr>
          <w:p w14:paraId="13F150F2" w14:textId="77777777" w:rsidR="00681081" w:rsidRPr="001E5971" w:rsidRDefault="00681081" w:rsidP="00C649AC">
            <w:pPr>
              <w:pStyle w:val="BHPBTableSubheading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3F20C3" w14:paraId="612714F6" w14:textId="77777777" w:rsidTr="00B07525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710" w:type="dxa"/>
            <w:tcBorders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3F9ED231" w14:textId="77777777" w:rsidR="003F20C3" w:rsidRDefault="003F20C3" w:rsidP="003F20C3">
            <w:pPr>
              <w:pStyle w:val="BHPBTableSubheading"/>
            </w:pPr>
            <w:r>
              <w:t>Ubicación:</w:t>
            </w:r>
          </w:p>
          <w:p w14:paraId="3FEC6673" w14:textId="2ABA36DE" w:rsidR="00B352B2" w:rsidRPr="00B352B2" w:rsidRDefault="00B352B2" w:rsidP="003F20C3">
            <w:pPr>
              <w:pStyle w:val="BHPBTableSubheading"/>
              <w:rPr>
                <w:i/>
                <w:color w:val="5A7E92" w:themeColor="accent2"/>
                <w:sz w:val="16"/>
                <w:szCs w:val="16"/>
              </w:rPr>
            </w:pPr>
            <w:r w:rsidRPr="00B352B2">
              <w:rPr>
                <w:i/>
                <w:color w:val="5A7E92" w:themeColor="accent2"/>
                <w:sz w:val="16"/>
                <w:szCs w:val="16"/>
              </w:rPr>
              <w:t>(Location)</w:t>
            </w:r>
          </w:p>
        </w:tc>
        <w:tc>
          <w:tcPr>
            <w:tcW w:w="3690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6B2329C2" w14:textId="77777777" w:rsidR="003F20C3" w:rsidRPr="00CE5EA3" w:rsidRDefault="003F20C3" w:rsidP="003F20C3">
            <w:pPr>
              <w:pStyle w:val="BHPBTableSubheading"/>
              <w:rPr>
                <w:color w:val="FFFFFF" w:themeColor="background1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370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808080" w:themeFill="background1" w:themeFillShade="80"/>
          </w:tcPr>
          <w:p w14:paraId="3F05EB77" w14:textId="77777777" w:rsidR="003F20C3" w:rsidRPr="00E425D7" w:rsidRDefault="003F20C3" w:rsidP="003F20C3">
            <w:pPr>
              <w:pStyle w:val="BHPBTableSubheading"/>
            </w:pPr>
            <w:r>
              <w:rPr>
                <w:color w:val="FFFFFF" w:themeColor="background1"/>
              </w:rPr>
              <w:t>Operaciones simultáneas (SIMOPS)</w:t>
            </w:r>
          </w:p>
        </w:tc>
      </w:tr>
      <w:tr w:rsidR="003F20C3" w14:paraId="04ED6F58" w14:textId="77777777" w:rsidTr="00B07525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710" w:type="dxa"/>
            <w:vMerge w:val="restart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13BFD321" w14:textId="77777777" w:rsidR="003F20C3" w:rsidRDefault="003F20C3" w:rsidP="003F20C3">
            <w:pPr>
              <w:pStyle w:val="BHPBTableSubheading"/>
            </w:pPr>
            <w:r>
              <w:t>Equipo:</w:t>
            </w:r>
          </w:p>
          <w:p w14:paraId="335C0E50" w14:textId="02BD1423" w:rsidR="00B352B2" w:rsidRPr="00B352B2" w:rsidRDefault="00B352B2" w:rsidP="003F20C3">
            <w:pPr>
              <w:pStyle w:val="BHPBTableSubheading"/>
              <w:rPr>
                <w:i/>
                <w:color w:val="5A7E92" w:themeColor="accent2"/>
                <w:sz w:val="16"/>
                <w:szCs w:val="16"/>
              </w:rPr>
            </w:pPr>
            <w:r>
              <w:rPr>
                <w:i/>
                <w:color w:val="5A7E92" w:themeColor="accent2"/>
                <w:sz w:val="16"/>
                <w:szCs w:val="16"/>
              </w:rPr>
              <w:t>(Equipment)</w:t>
            </w:r>
          </w:p>
        </w:tc>
        <w:tc>
          <w:tcPr>
            <w:tcW w:w="3690" w:type="dxa"/>
            <w:vMerge w:val="restart"/>
            <w:tcBorders>
              <w:left w:val="single" w:sz="4" w:space="0" w:color="919181" w:themeColor="accent3"/>
            </w:tcBorders>
            <w:shd w:val="clear" w:color="auto" w:fill="FFFFFF" w:themeFill="background1"/>
          </w:tcPr>
          <w:p w14:paraId="6D9DF0F2" w14:textId="77777777" w:rsidR="003F20C3" w:rsidRPr="00CE5EA3" w:rsidRDefault="003F20C3" w:rsidP="00407365">
            <w:pPr>
              <w:pStyle w:val="BHPBTableSubheading"/>
              <w:rPr>
                <w:color w:val="FFFFFF" w:themeColor="background1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5370" w:type="dxa"/>
            <w:tcBorders>
              <w:bottom w:val="nil"/>
              <w:right w:val="single" w:sz="18" w:space="0" w:color="5A7E92" w:themeColor="accent2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5F31649B" w14:textId="03F6C53C" w:rsidR="003F20C3" w:rsidRDefault="003F20C3" w:rsidP="003F20C3">
            <w:pPr>
              <w:tabs>
                <w:tab w:val="left" w:pos="2945"/>
                <w:tab w:val="left" w:pos="5202"/>
              </w:tabs>
              <w:spacing w:line="276" w:lineRule="auto"/>
            </w:pPr>
            <w:r>
              <w:t>¿Es probable que ocurran SIMOPS?</w:t>
            </w:r>
            <w:r>
              <w:tab/>
            </w:r>
            <w:r w:rsidRPr="00F70B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B78">
              <w:instrText xml:space="preserve"> FORMCHECKBOX </w:instrText>
            </w:r>
            <w:r w:rsidR="0050252A">
              <w:fldChar w:fldCharType="separate"/>
            </w:r>
            <w:r w:rsidRPr="00F70B78">
              <w:fldChar w:fldCharType="end"/>
            </w:r>
            <w:r>
              <w:t xml:space="preserve"> Sí</w:t>
            </w:r>
            <w:r w:rsidR="00B352B2">
              <w:t xml:space="preserve"> </w:t>
            </w:r>
            <w:r w:rsidR="00B352B2" w:rsidRPr="00B352B2">
              <w:rPr>
                <w:b/>
                <w:i/>
                <w:color w:val="5A7E92" w:themeColor="accent2"/>
                <w:sz w:val="16"/>
                <w:szCs w:val="16"/>
              </w:rPr>
              <w:t>(</w:t>
            </w:r>
            <w:proofErr w:type="gramStart"/>
            <w:r w:rsidR="00B352B2" w:rsidRPr="00B352B2">
              <w:rPr>
                <w:b/>
                <w:i/>
                <w:color w:val="5A7E92" w:themeColor="accent2"/>
                <w:sz w:val="16"/>
                <w:szCs w:val="16"/>
              </w:rPr>
              <w:t>Yes)</w:t>
            </w:r>
            <w:r>
              <w:t xml:space="preserve">   </w:t>
            </w:r>
            <w:proofErr w:type="gramEnd"/>
            <w:r>
              <w:t xml:space="preserve"> </w:t>
            </w:r>
            <w:r w:rsidRPr="00F70B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B78">
              <w:instrText xml:space="preserve"> FORMCHECKBOX </w:instrText>
            </w:r>
            <w:r w:rsidR="0050252A">
              <w:fldChar w:fldCharType="separate"/>
            </w:r>
            <w:r w:rsidRPr="00F70B78">
              <w:fldChar w:fldCharType="end"/>
            </w:r>
            <w:r>
              <w:t xml:space="preserve"> No</w:t>
            </w:r>
            <w:r w:rsidR="00B352B2">
              <w:t xml:space="preserve"> </w:t>
            </w:r>
          </w:p>
        </w:tc>
      </w:tr>
      <w:tr w:rsidR="003F20C3" w:rsidRPr="000272EE" w14:paraId="4F1E6325" w14:textId="77777777" w:rsidTr="00416F9A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710" w:type="dxa"/>
            <w:vMerge/>
            <w:tcBorders>
              <w:left w:val="single" w:sz="18" w:space="0" w:color="5A7E92" w:themeColor="accent2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23D53F10" w14:textId="740E0D1F" w:rsidR="003F20C3" w:rsidRPr="001E5971" w:rsidRDefault="003F20C3" w:rsidP="00407365">
            <w:pPr>
              <w:pStyle w:val="BHPBTableSubheading"/>
            </w:pPr>
          </w:p>
        </w:tc>
        <w:tc>
          <w:tcPr>
            <w:tcW w:w="3690" w:type="dxa"/>
            <w:vMerge/>
            <w:tcBorders>
              <w:left w:val="single" w:sz="4" w:space="0" w:color="919181" w:themeColor="accent3"/>
              <w:bottom w:val="single" w:sz="18" w:space="0" w:color="5A7E92" w:themeColor="accent2"/>
            </w:tcBorders>
            <w:shd w:val="clear" w:color="auto" w:fill="FFFFFF" w:themeFill="background1"/>
          </w:tcPr>
          <w:p w14:paraId="46E11637" w14:textId="77777777" w:rsidR="003F20C3" w:rsidRPr="00CE5EA3" w:rsidRDefault="003F20C3" w:rsidP="00407365">
            <w:pPr>
              <w:pStyle w:val="BHPBTableSubheading"/>
              <w:rPr>
                <w:color w:val="FFFFFF" w:themeColor="background1"/>
              </w:rPr>
            </w:pPr>
          </w:p>
        </w:tc>
        <w:tc>
          <w:tcPr>
            <w:tcW w:w="5370" w:type="dxa"/>
            <w:tcBorders>
              <w:top w:val="nil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2CF9474B" w14:textId="77777777" w:rsidR="003F20C3" w:rsidRDefault="003F20C3" w:rsidP="00407365">
            <w:pPr>
              <w:tabs>
                <w:tab w:val="left" w:pos="2772"/>
                <w:tab w:val="left" w:pos="3870"/>
                <w:tab w:val="left" w:pos="5202"/>
              </w:tabs>
              <w:spacing w:line="27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(En caso afirmativo, deberá acordarse un plan SIMOPS</w:t>
            </w:r>
            <w:r>
              <w:rPr>
                <w:i/>
                <w:sz w:val="16"/>
              </w:rPr>
              <w:br/>
              <w:t>según el Procedimiento local de operaciones simultáneas)</w:t>
            </w:r>
          </w:p>
          <w:p w14:paraId="441E07CF" w14:textId="7230E06F" w:rsidR="00B352B2" w:rsidRPr="000272EE" w:rsidRDefault="00B352B2" w:rsidP="00407365">
            <w:pPr>
              <w:tabs>
                <w:tab w:val="left" w:pos="2772"/>
                <w:tab w:val="left" w:pos="3870"/>
                <w:tab w:val="left" w:pos="5202"/>
              </w:tabs>
              <w:spacing w:line="276" w:lineRule="auto"/>
              <w:jc w:val="center"/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</w:pPr>
            <w:r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(If YES, a SIMOPS plan must be agreed as per local Simultaneous Operations Procedure)</w:t>
            </w:r>
          </w:p>
        </w:tc>
      </w:tr>
    </w:tbl>
    <w:p w14:paraId="5BCE5F34" w14:textId="77777777" w:rsidR="00681081" w:rsidRPr="000272EE" w:rsidRDefault="00681081" w:rsidP="005A0A3F">
      <w:pPr>
        <w:rPr>
          <w:sz w:val="16"/>
          <w:szCs w:val="16"/>
          <w:lang w:val="en-US"/>
        </w:rPr>
      </w:pPr>
    </w:p>
    <w:tbl>
      <w:tblPr>
        <w:tblStyle w:val="BHPBFormTableStyle"/>
        <w:tblW w:w="0" w:type="auto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1114"/>
        <w:gridCol w:w="2173"/>
        <w:gridCol w:w="2728"/>
        <w:gridCol w:w="4762"/>
      </w:tblGrid>
      <w:tr w:rsidR="000D5F5B" w:rsidRPr="000272EE" w14:paraId="536E4B24" w14:textId="77777777" w:rsidTr="00FD5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39" w:type="dxa"/>
            <w:gridSpan w:val="4"/>
            <w:shd w:val="clear" w:color="auto" w:fill="5A7E92" w:themeFill="accent2"/>
          </w:tcPr>
          <w:p w14:paraId="581EFA82" w14:textId="77777777" w:rsidR="000D5F5B" w:rsidRDefault="000D5F5B" w:rsidP="00CB17AA">
            <w:pPr>
              <w:rPr>
                <w:sz w:val="16"/>
              </w:rPr>
            </w:pPr>
            <w:r>
              <w:t xml:space="preserve">Preparación </w:t>
            </w:r>
            <w:r>
              <w:rPr>
                <w:sz w:val="16"/>
              </w:rPr>
              <w:t>(anexe cualquier procedimiento de apoyo)</w:t>
            </w:r>
          </w:p>
          <w:p w14:paraId="172722CA" w14:textId="02CFAB6F" w:rsidR="00B352B2" w:rsidRPr="000272EE" w:rsidRDefault="00B352B2" w:rsidP="00CB17AA">
            <w:pPr>
              <w:rPr>
                <w:b w:val="0"/>
                <w:i/>
                <w:sz w:val="14"/>
                <w:szCs w:val="14"/>
                <w:lang w:val="en-US"/>
              </w:rPr>
            </w:pPr>
            <w:r w:rsidRPr="000272EE">
              <w:rPr>
                <w:i/>
                <w:sz w:val="14"/>
                <w:szCs w:val="14"/>
                <w:lang w:val="en-US"/>
              </w:rPr>
              <w:t>(Preparation – attach any supporting procedures)</w:t>
            </w:r>
          </w:p>
        </w:tc>
      </w:tr>
      <w:tr w:rsidR="000D5F5B" w:rsidRPr="008F0BAE" w14:paraId="6FB07502" w14:textId="77777777" w:rsidTr="00FD5058">
        <w:trPr>
          <w:trHeight w:val="216"/>
        </w:trPr>
        <w:tc>
          <w:tcPr>
            <w:tcW w:w="1114" w:type="dxa"/>
            <w:shd w:val="clear" w:color="auto" w:fill="D1D1C5" w:themeFill="background2"/>
          </w:tcPr>
          <w:p w14:paraId="494580EA" w14:textId="77777777" w:rsidR="000D5F5B" w:rsidRPr="00CE5EA3" w:rsidRDefault="000D5F5B" w:rsidP="00045E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Confirmado</w:t>
            </w:r>
          </w:p>
        </w:tc>
        <w:tc>
          <w:tcPr>
            <w:tcW w:w="9925" w:type="dxa"/>
            <w:gridSpan w:val="3"/>
            <w:shd w:val="clear" w:color="auto" w:fill="D1D1C5" w:themeFill="background2"/>
          </w:tcPr>
          <w:p w14:paraId="0A6F6CE0" w14:textId="77777777" w:rsidR="000D5F5B" w:rsidRPr="00CE5EA3" w:rsidRDefault="000D5F5B" w:rsidP="00045E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Acción</w:t>
            </w:r>
          </w:p>
        </w:tc>
      </w:tr>
      <w:tr w:rsidR="000D5F5B" w:rsidRPr="000272EE" w14:paraId="4BDE8FD2" w14:textId="77777777" w:rsidTr="00FD5058">
        <w:trPr>
          <w:trHeight w:val="432"/>
        </w:trPr>
        <w:tc>
          <w:tcPr>
            <w:tcW w:w="1114" w:type="dxa"/>
          </w:tcPr>
          <w:p w14:paraId="5F85D14D" w14:textId="77777777" w:rsidR="000D5F5B" w:rsidRDefault="000D5F5B" w:rsidP="00045EFA">
            <w:pPr>
              <w:jc w:val="center"/>
            </w:pPr>
            <w:r w:rsidRPr="002271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1C0">
              <w:instrText xml:space="preserve"> FORMCHECKBOX </w:instrText>
            </w:r>
            <w:r w:rsidR="0050252A">
              <w:fldChar w:fldCharType="separate"/>
            </w:r>
            <w:r w:rsidRPr="002271C0">
              <w:fldChar w:fldCharType="end"/>
            </w:r>
          </w:p>
        </w:tc>
        <w:tc>
          <w:tcPr>
            <w:tcW w:w="9925" w:type="dxa"/>
            <w:gridSpan w:val="3"/>
          </w:tcPr>
          <w:p w14:paraId="73F078FE" w14:textId="77777777" w:rsidR="000D5F5B" w:rsidRDefault="000D5F5B" w:rsidP="00CB17AA">
            <w:pPr>
              <w:jc w:val="both"/>
            </w:pPr>
            <w:r>
              <w:t>Procedimiento de paro de equipo definido, en caso de requerirse.</w:t>
            </w:r>
          </w:p>
          <w:p w14:paraId="2BBB4F51" w14:textId="123D8F34" w:rsidR="00B352B2" w:rsidRPr="000272EE" w:rsidRDefault="00B352B2" w:rsidP="00CB17AA">
            <w:pPr>
              <w:jc w:val="both"/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</w:pPr>
            <w:r w:rsidRPr="000272EE"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  <w:t>(Equipment shutdown procedure defined, if necessary.)</w:t>
            </w:r>
          </w:p>
        </w:tc>
      </w:tr>
      <w:tr w:rsidR="000D5F5B" w:rsidRPr="000272EE" w14:paraId="2F342522" w14:textId="77777777" w:rsidTr="00FD5058">
        <w:trPr>
          <w:trHeight w:val="432"/>
        </w:trPr>
        <w:tc>
          <w:tcPr>
            <w:tcW w:w="1114" w:type="dxa"/>
          </w:tcPr>
          <w:p w14:paraId="34404A60" w14:textId="77777777" w:rsidR="000D5F5B" w:rsidRPr="002271C0" w:rsidRDefault="000D5F5B" w:rsidP="00045EFA">
            <w:pPr>
              <w:jc w:val="center"/>
            </w:pPr>
            <w:r w:rsidRPr="002271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1C0">
              <w:instrText xml:space="preserve"> FORMCHECKBOX </w:instrText>
            </w:r>
            <w:r w:rsidR="0050252A">
              <w:fldChar w:fldCharType="separate"/>
            </w:r>
            <w:r w:rsidRPr="002271C0">
              <w:fldChar w:fldCharType="end"/>
            </w:r>
          </w:p>
        </w:tc>
        <w:tc>
          <w:tcPr>
            <w:tcW w:w="9925" w:type="dxa"/>
            <w:gridSpan w:val="3"/>
            <w:tcBorders>
              <w:bottom w:val="single" w:sz="4" w:space="0" w:color="808080" w:themeColor="background1" w:themeShade="80"/>
            </w:tcBorders>
          </w:tcPr>
          <w:p w14:paraId="510F76C4" w14:textId="77777777" w:rsidR="000D5F5B" w:rsidRDefault="001746E9" w:rsidP="00CB17AA">
            <w:pPr>
              <w:jc w:val="both"/>
            </w:pPr>
            <w:r>
              <w:t>Lista de punto de ruptura definido, en caso de ser necesario como apoyo a las revisiones de restitución.</w:t>
            </w:r>
          </w:p>
          <w:p w14:paraId="21720B9C" w14:textId="21391781" w:rsidR="00B352B2" w:rsidRPr="000272EE" w:rsidRDefault="00B352B2" w:rsidP="00CB17AA">
            <w:pPr>
              <w:jc w:val="both"/>
              <w:rPr>
                <w:lang w:val="en-US"/>
              </w:rPr>
            </w:pPr>
            <w:r w:rsidRPr="000272EE"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  <w:t>(Break Point list defined if necessary to support re-instatement checks.)</w:t>
            </w:r>
          </w:p>
        </w:tc>
      </w:tr>
      <w:tr w:rsidR="00A919AB" w:rsidRPr="008F0BAE" w14:paraId="19047C15" w14:textId="77777777" w:rsidTr="00FD5058">
        <w:trPr>
          <w:trHeight w:val="288"/>
        </w:trPr>
        <w:tc>
          <w:tcPr>
            <w:tcW w:w="1114" w:type="dxa"/>
            <w:vMerge w:val="restart"/>
          </w:tcPr>
          <w:p w14:paraId="7E814B6F" w14:textId="77777777" w:rsidR="00A919AB" w:rsidRDefault="00A919AB" w:rsidP="001746E9">
            <w:pPr>
              <w:jc w:val="center"/>
            </w:pPr>
            <w:r w:rsidRPr="002271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1C0">
              <w:instrText xml:space="preserve"> FORMCHECKBOX </w:instrText>
            </w:r>
            <w:r w:rsidR="0050252A">
              <w:fldChar w:fldCharType="separate"/>
            </w:r>
            <w:r w:rsidRPr="002271C0">
              <w:fldChar w:fldCharType="end"/>
            </w:r>
          </w:p>
        </w:tc>
        <w:tc>
          <w:tcPr>
            <w:tcW w:w="9925" w:type="dxa"/>
            <w:gridSpan w:val="3"/>
            <w:tcBorders>
              <w:top w:val="single" w:sz="4" w:space="0" w:color="808080" w:themeColor="background1" w:themeShade="80"/>
              <w:bottom w:val="nil"/>
            </w:tcBorders>
          </w:tcPr>
          <w:p w14:paraId="4137E978" w14:textId="77777777" w:rsidR="00A919AB" w:rsidRPr="00484D1F" w:rsidRDefault="00A919AB" w:rsidP="00620A03">
            <w:r>
              <w:t xml:space="preserve">Método de remoción de inventario definido </w:t>
            </w:r>
            <w:r>
              <w:rPr>
                <w:color w:val="808080" w:themeColor="background1" w:themeShade="80"/>
                <w:sz w:val="16"/>
              </w:rPr>
              <w:t>(anexe cualquier documento de apoyo)</w:t>
            </w:r>
            <w:r>
              <w:t>:</w:t>
            </w:r>
          </w:p>
        </w:tc>
      </w:tr>
      <w:tr w:rsidR="00A919AB" w:rsidRPr="008F0BAE" w14:paraId="6FA691B5" w14:textId="77777777" w:rsidTr="00FD5058">
        <w:trPr>
          <w:trHeight w:val="288"/>
        </w:trPr>
        <w:tc>
          <w:tcPr>
            <w:tcW w:w="1114" w:type="dxa"/>
            <w:vMerge/>
          </w:tcPr>
          <w:p w14:paraId="5C190326" w14:textId="77777777" w:rsidR="00A919AB" w:rsidRPr="002271C0" w:rsidRDefault="00A919AB" w:rsidP="001746E9">
            <w:pPr>
              <w:jc w:val="center"/>
            </w:pPr>
          </w:p>
        </w:tc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14:paraId="469ABA9F" w14:textId="0CD283F0" w:rsidR="00A919AB" w:rsidRPr="00416F9A" w:rsidRDefault="00A919AB" w:rsidP="00416F9A">
            <w:pPr>
              <w:pStyle w:val="BHPBTableSubheading"/>
              <w:spacing w:before="40" w:after="40"/>
              <w:jc w:val="left"/>
              <w:rPr>
                <w:b w:val="0"/>
              </w:rPr>
            </w:pPr>
            <w:r w:rsidRPr="00306E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rPr>
                <w:b w:val="0"/>
              </w:rPr>
              <w:instrText xml:space="preserve"> FORMCHECKBOX </w:instrText>
            </w:r>
            <w:r w:rsidR="0050252A">
              <w:rPr>
                <w:b w:val="0"/>
              </w:rPr>
            </w:r>
            <w:r w:rsidR="0050252A">
              <w:rPr>
                <w:b w:val="0"/>
              </w:rPr>
              <w:fldChar w:fldCharType="separate"/>
            </w:r>
            <w:r w:rsidRPr="00306E19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Pr="006D70C0">
              <w:rPr>
                <w:b w:val="0"/>
                <w:sz w:val="16"/>
              </w:rPr>
              <w:t>No se requiere ninguno</w:t>
            </w:r>
            <w:r w:rsidR="000579E0">
              <w:rPr>
                <w:b w:val="0"/>
                <w:sz w:val="16"/>
              </w:rPr>
              <w:t xml:space="preserve"> </w:t>
            </w:r>
            <w:r w:rsidR="000579E0" w:rsidRPr="000579E0">
              <w:rPr>
                <w:i/>
                <w:color w:val="5A7E92" w:themeColor="accent2"/>
                <w:sz w:val="14"/>
                <w:szCs w:val="14"/>
              </w:rPr>
              <w:t>(None Required)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8F63C3B" w14:textId="237960C8" w:rsidR="00A919AB" w:rsidRPr="00306E19" w:rsidRDefault="00A919AB" w:rsidP="001746E9">
            <w:pPr>
              <w:pStyle w:val="BHPBTableSubheading"/>
              <w:spacing w:before="40" w:after="40"/>
              <w:jc w:val="left"/>
              <w:rPr>
                <w:b w:val="0"/>
              </w:rPr>
            </w:pPr>
            <w:r w:rsidRPr="00306E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rPr>
                <w:b w:val="0"/>
              </w:rPr>
              <w:instrText xml:space="preserve"> FORMCHECKBOX </w:instrText>
            </w:r>
            <w:r w:rsidR="0050252A">
              <w:rPr>
                <w:b w:val="0"/>
              </w:rPr>
            </w:r>
            <w:r w:rsidR="0050252A">
              <w:rPr>
                <w:b w:val="0"/>
              </w:rPr>
              <w:fldChar w:fldCharType="separate"/>
            </w:r>
            <w:r w:rsidRPr="00306E19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Pr="006D70C0">
              <w:rPr>
                <w:b w:val="0"/>
                <w:sz w:val="16"/>
              </w:rPr>
              <w:t>Drenado</w:t>
            </w:r>
            <w:r w:rsidR="000579E0">
              <w:rPr>
                <w:b w:val="0"/>
                <w:sz w:val="16"/>
              </w:rPr>
              <w:t xml:space="preserve"> </w:t>
            </w:r>
            <w:r w:rsidR="000579E0" w:rsidRPr="000579E0">
              <w:rPr>
                <w:i/>
                <w:color w:val="5A7E92" w:themeColor="accent2"/>
                <w:sz w:val="14"/>
                <w:szCs w:val="14"/>
              </w:rPr>
              <w:t>(</w:t>
            </w:r>
            <w:r w:rsidR="000579E0">
              <w:rPr>
                <w:i/>
                <w:color w:val="5A7E92" w:themeColor="accent2"/>
                <w:sz w:val="14"/>
                <w:szCs w:val="14"/>
              </w:rPr>
              <w:t>Drain)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</w:tcBorders>
          </w:tcPr>
          <w:p w14:paraId="59716E70" w14:textId="0282A95C" w:rsidR="00A919AB" w:rsidRPr="00306E19" w:rsidRDefault="00A919AB" w:rsidP="001746E9">
            <w:pPr>
              <w:pStyle w:val="BHPBTableSubheading"/>
              <w:spacing w:before="40" w:after="40"/>
              <w:jc w:val="left"/>
              <w:rPr>
                <w:b w:val="0"/>
              </w:rPr>
            </w:pPr>
            <w:r w:rsidRPr="00306E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rPr>
                <w:b w:val="0"/>
              </w:rPr>
              <w:instrText xml:space="preserve"> FORMCHECKBOX </w:instrText>
            </w:r>
            <w:r w:rsidR="0050252A">
              <w:rPr>
                <w:b w:val="0"/>
              </w:rPr>
            </w:r>
            <w:r w:rsidR="0050252A">
              <w:rPr>
                <w:b w:val="0"/>
              </w:rPr>
              <w:fldChar w:fldCharType="separate"/>
            </w:r>
            <w:r w:rsidRPr="00306E19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Pr="006D70C0">
              <w:rPr>
                <w:b w:val="0"/>
                <w:sz w:val="16"/>
              </w:rPr>
              <w:t>Venteo / Despresurización</w:t>
            </w:r>
            <w:r w:rsidR="000579E0">
              <w:rPr>
                <w:b w:val="0"/>
                <w:sz w:val="16"/>
              </w:rPr>
              <w:t xml:space="preserve"> </w:t>
            </w:r>
            <w:r w:rsidR="000579E0" w:rsidRPr="000579E0">
              <w:rPr>
                <w:i/>
                <w:color w:val="5A7E92" w:themeColor="accent2"/>
                <w:sz w:val="14"/>
                <w:szCs w:val="14"/>
              </w:rPr>
              <w:t>(Blow-down / Depressurize)</w:t>
            </w:r>
          </w:p>
        </w:tc>
      </w:tr>
      <w:tr w:rsidR="00A919AB" w:rsidRPr="008F0BAE" w14:paraId="4C4ED5B4" w14:textId="77777777" w:rsidTr="00FD5058">
        <w:trPr>
          <w:trHeight w:val="288"/>
        </w:trPr>
        <w:tc>
          <w:tcPr>
            <w:tcW w:w="1114" w:type="dxa"/>
            <w:vMerge/>
          </w:tcPr>
          <w:p w14:paraId="6430B07B" w14:textId="77777777" w:rsidR="00A919AB" w:rsidRPr="002271C0" w:rsidRDefault="00A919AB" w:rsidP="001746E9">
            <w:pPr>
              <w:jc w:val="center"/>
            </w:pPr>
          </w:p>
        </w:tc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14:paraId="3AEF55E5" w14:textId="77777777" w:rsidR="00A919AB" w:rsidRPr="00306E19" w:rsidRDefault="00A919AB" w:rsidP="00416F9A">
            <w:pPr>
              <w:pStyle w:val="BHPBTableSubheading"/>
              <w:spacing w:before="40" w:after="40"/>
              <w:jc w:val="left"/>
              <w:rPr>
                <w:b w:val="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ABF0BA9" w14:textId="0009EFCB" w:rsidR="000579E0" w:rsidRPr="000579E0" w:rsidRDefault="00A919AB" w:rsidP="000579E0">
            <w:pPr>
              <w:pStyle w:val="BHPBTableSubheading"/>
              <w:spacing w:before="40" w:after="40"/>
              <w:jc w:val="left"/>
              <w:rPr>
                <w:sz w:val="16"/>
                <w:vertAlign w:val="superscript"/>
              </w:rPr>
            </w:pPr>
            <w:r w:rsidRPr="00306E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rPr>
                <w:b w:val="0"/>
              </w:rPr>
              <w:instrText xml:space="preserve"> FORMCHECKBOX </w:instrText>
            </w:r>
            <w:r w:rsidR="0050252A">
              <w:rPr>
                <w:b w:val="0"/>
              </w:rPr>
            </w:r>
            <w:r w:rsidR="0050252A">
              <w:rPr>
                <w:b w:val="0"/>
              </w:rPr>
              <w:fldChar w:fldCharType="separate"/>
            </w:r>
            <w:r w:rsidRPr="00306E19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</w:t>
            </w:r>
            <w:r w:rsidRPr="006D70C0">
              <w:rPr>
                <w:b w:val="0"/>
                <w:sz w:val="16"/>
              </w:rPr>
              <w:t>Purga / Descarga</w:t>
            </w:r>
            <w:r w:rsidR="000579E0" w:rsidRPr="006D70C0">
              <w:rPr>
                <w:sz w:val="16"/>
                <w:vertAlign w:val="superscript"/>
              </w:rPr>
              <w:t>1</w:t>
            </w:r>
            <w:r w:rsidR="000579E0">
              <w:rPr>
                <w:b w:val="0"/>
                <w:sz w:val="16"/>
              </w:rPr>
              <w:t xml:space="preserve"> </w:t>
            </w:r>
            <w:r w:rsidR="000579E0">
              <w:rPr>
                <w:i/>
                <w:color w:val="5A7E92" w:themeColor="accent2"/>
                <w:sz w:val="14"/>
                <w:szCs w:val="14"/>
              </w:rPr>
              <w:t>(Purge/Flush)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</w:tcBorders>
          </w:tcPr>
          <w:p w14:paraId="5E2F0139" w14:textId="1DD8FE8B" w:rsidR="00A919AB" w:rsidRPr="00306E19" w:rsidRDefault="00A919AB" w:rsidP="00416F9A">
            <w:pPr>
              <w:rPr>
                <w:b/>
              </w:rPr>
            </w:pPr>
            <w:r w:rsidRPr="00306E1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instrText xml:space="preserve"> FORMCHECKBOX </w:instrText>
            </w:r>
            <w:r w:rsidR="0050252A">
              <w:rPr>
                <w:b/>
              </w:rPr>
            </w:r>
            <w:r w:rsidR="0050252A">
              <w:rPr>
                <w:b/>
              </w:rPr>
              <w:fldChar w:fldCharType="separate"/>
            </w:r>
            <w:r w:rsidRPr="00306E19">
              <w:rPr>
                <w:b/>
              </w:rPr>
              <w:fldChar w:fldCharType="end"/>
            </w:r>
            <w:r>
              <w:t xml:space="preserve">  </w:t>
            </w:r>
            <w:r w:rsidRPr="006D70C0">
              <w:rPr>
                <w:sz w:val="16"/>
              </w:rPr>
              <w:t>Limpieza adicional</w:t>
            </w:r>
            <w:r w:rsidR="000579E0">
              <w:rPr>
                <w:sz w:val="16"/>
              </w:rPr>
              <w:t xml:space="preserve"> </w:t>
            </w:r>
            <w:r w:rsidR="000579E0" w:rsidRPr="000579E0">
              <w:rPr>
                <w:b/>
                <w:i/>
                <w:color w:val="5A7E92" w:themeColor="accent2"/>
                <w:sz w:val="14"/>
                <w:szCs w:val="14"/>
              </w:rPr>
              <w:t>(Additional Cleaning)</w:t>
            </w:r>
            <w:r w:rsidRPr="006D70C0">
              <w:rPr>
                <w:sz w:val="16"/>
              </w:rPr>
              <w:t xml:space="preserve"> </w:t>
            </w:r>
            <w:r>
              <w:rPr>
                <w:color w:val="808080" w:themeColor="background1" w:themeShade="80"/>
                <w:sz w:val="16"/>
              </w:rPr>
              <w:t>(p. ej. por vapor, química, neutralización)</w:t>
            </w:r>
            <w:r w:rsidR="000579E0">
              <w:rPr>
                <w:color w:val="808080" w:themeColor="background1" w:themeShade="80"/>
                <w:sz w:val="16"/>
              </w:rPr>
              <w:t xml:space="preserve"> </w:t>
            </w:r>
            <w:r w:rsidR="000579E0" w:rsidRPr="000579E0">
              <w:rPr>
                <w:b/>
                <w:i/>
                <w:color w:val="5A7E92" w:themeColor="accent2"/>
                <w:sz w:val="14"/>
                <w:szCs w:val="14"/>
              </w:rPr>
              <w:t>(</w:t>
            </w:r>
            <w:r w:rsidR="000579E0">
              <w:rPr>
                <w:b/>
                <w:i/>
                <w:color w:val="5A7E92" w:themeColor="accent2"/>
                <w:sz w:val="14"/>
                <w:szCs w:val="14"/>
              </w:rPr>
              <w:t>e.g. Steam, Chemical, Neutralizing</w:t>
            </w:r>
            <w:r w:rsidR="000579E0" w:rsidRPr="000579E0">
              <w:rPr>
                <w:b/>
                <w:i/>
                <w:color w:val="5A7E92" w:themeColor="accent2"/>
                <w:sz w:val="14"/>
                <w:szCs w:val="14"/>
              </w:rPr>
              <w:t>)</w:t>
            </w:r>
          </w:p>
        </w:tc>
      </w:tr>
      <w:tr w:rsidR="00A919AB" w:rsidRPr="000272EE" w14:paraId="26E92AD9" w14:textId="77777777" w:rsidTr="00FD5058">
        <w:trPr>
          <w:trHeight w:val="2232"/>
        </w:trPr>
        <w:tc>
          <w:tcPr>
            <w:tcW w:w="1114" w:type="dxa"/>
            <w:vMerge/>
            <w:vAlign w:val="top"/>
          </w:tcPr>
          <w:p w14:paraId="076926BF" w14:textId="77777777" w:rsidR="00A919AB" w:rsidRDefault="00A919AB" w:rsidP="00110639">
            <w:pPr>
              <w:spacing w:before="120"/>
              <w:jc w:val="center"/>
            </w:pPr>
          </w:p>
        </w:tc>
        <w:tc>
          <w:tcPr>
            <w:tcW w:w="9925" w:type="dxa"/>
            <w:gridSpan w:val="3"/>
            <w:tcBorders>
              <w:top w:val="nil"/>
            </w:tcBorders>
          </w:tcPr>
          <w:p w14:paraId="736A2FF6" w14:textId="582AA806" w:rsidR="000579E0" w:rsidRPr="000272EE" w:rsidRDefault="00A919AB" w:rsidP="000579E0">
            <w:pPr>
              <w:pStyle w:val="BHPBTableSubheading"/>
              <w:spacing w:after="40"/>
              <w:ind w:left="302" w:hanging="302"/>
              <w:rPr>
                <w:i/>
                <w:color w:val="5A7E92" w:themeColor="accent2"/>
                <w:sz w:val="14"/>
                <w:szCs w:val="14"/>
                <w:lang w:val="en-US"/>
              </w:rPr>
            </w:pPr>
            <w:r>
              <w:rPr>
                <w:color w:val="808080" w:themeColor="background1" w:themeShade="80"/>
                <w:sz w:val="17"/>
              </w:rPr>
              <w:t>1</w:t>
            </w:r>
            <w:r>
              <w:rPr>
                <w:b w:val="0"/>
                <w:color w:val="808080" w:themeColor="background1" w:themeShade="80"/>
                <w:sz w:val="17"/>
              </w:rPr>
              <w:t xml:space="preserve"> -</w:t>
            </w:r>
            <w:r>
              <w:tab/>
            </w:r>
            <w:r>
              <w:rPr>
                <w:b w:val="0"/>
                <w:color w:val="808080" w:themeColor="background1" w:themeShade="80"/>
                <w:sz w:val="17"/>
              </w:rPr>
              <w:t>Cuando el volumen dentro del límite de aislamiento es superior a 1.5 pies</w:t>
            </w:r>
            <w:r>
              <w:rPr>
                <w:b w:val="0"/>
                <w:color w:val="808080" w:themeColor="background1" w:themeShade="80"/>
                <w:sz w:val="17"/>
                <w:vertAlign w:val="superscript"/>
              </w:rPr>
              <w:t>3</w:t>
            </w:r>
            <w:r>
              <w:rPr>
                <w:b w:val="0"/>
                <w:color w:val="808080" w:themeColor="background1" w:themeShade="80"/>
                <w:sz w:val="17"/>
                <w:vertAlign w:val="subscript"/>
              </w:rPr>
              <w:t xml:space="preserve"> </w:t>
            </w:r>
            <w:r>
              <w:rPr>
                <w:b w:val="0"/>
                <w:color w:val="808080" w:themeColor="background1" w:themeShade="80"/>
                <w:sz w:val="17"/>
              </w:rPr>
              <w:t>/ 0.042m</w:t>
            </w:r>
            <w:r>
              <w:rPr>
                <w:b w:val="0"/>
                <w:color w:val="808080" w:themeColor="background1" w:themeShade="80"/>
                <w:sz w:val="17"/>
                <w:vertAlign w:val="superscript"/>
              </w:rPr>
              <w:t>3</w:t>
            </w:r>
            <w:r>
              <w:rPr>
                <w:b w:val="0"/>
                <w:color w:val="808080" w:themeColor="background1" w:themeShade="80"/>
                <w:sz w:val="17"/>
              </w:rPr>
              <w:t xml:space="preserve"> y probablemente haya gas combustible residual, considere en función de </w:t>
            </w:r>
            <w:r w:rsidR="00FD5058">
              <w:rPr>
                <w:b w:val="0"/>
                <w:color w:val="808080" w:themeColor="background1" w:themeShade="80"/>
                <w:sz w:val="17"/>
              </w:rPr>
              <w:t xml:space="preserve">los </w:t>
            </w:r>
            <w:r>
              <w:rPr>
                <w:b w:val="0"/>
                <w:color w:val="808080" w:themeColor="background1" w:themeShade="80"/>
                <w:sz w:val="17"/>
              </w:rPr>
              <w:t>riesgos la necesidad de liberar de gas el volumen antes de la ruptura de contención (véase la tabla para ejemplos de volumen para diámetros de tubería comunes).</w:t>
            </w:r>
            <w:r w:rsidR="000579E0">
              <w:rPr>
                <w:b w:val="0"/>
                <w:color w:val="808080" w:themeColor="background1" w:themeShade="80"/>
                <w:sz w:val="17"/>
              </w:rPr>
              <w:t xml:space="preserve"> </w:t>
            </w:r>
            <w:r w:rsidR="000579E0" w:rsidRPr="000272EE">
              <w:rPr>
                <w:i/>
                <w:color w:val="5A7E92" w:themeColor="accent2"/>
                <w:sz w:val="14"/>
                <w:szCs w:val="14"/>
                <w:lang w:val="en-US"/>
              </w:rPr>
              <w:t>(1</w:t>
            </w:r>
            <w:r w:rsidR="000579E0" w:rsidRPr="000272EE">
              <w:rPr>
                <w:b w:val="0"/>
                <w:color w:val="5A7E92" w:themeColor="accent2"/>
                <w:sz w:val="14"/>
                <w:szCs w:val="14"/>
                <w:lang w:val="en-US"/>
              </w:rPr>
              <w:t xml:space="preserve"> </w:t>
            </w:r>
            <w:r w:rsidR="000579E0" w:rsidRPr="000272EE">
              <w:rPr>
                <w:i/>
                <w:color w:val="5A7E92" w:themeColor="accent2"/>
                <w:sz w:val="14"/>
                <w:szCs w:val="14"/>
                <w:lang w:val="en-US"/>
              </w:rPr>
              <w:t>-Where the volume within the isolation boundary is greater than 1.5ft</w:t>
            </w:r>
            <w:r w:rsidR="000579E0" w:rsidRPr="000272EE">
              <w:rPr>
                <w:i/>
                <w:color w:val="5A7E92" w:themeColor="accent2"/>
                <w:sz w:val="14"/>
                <w:szCs w:val="14"/>
                <w:vertAlign w:val="superscript"/>
                <w:lang w:val="en-US"/>
              </w:rPr>
              <w:t>3</w:t>
            </w:r>
            <w:r w:rsidR="000579E0" w:rsidRPr="000272EE">
              <w:rPr>
                <w:i/>
                <w:color w:val="5A7E92" w:themeColor="accent2"/>
                <w:sz w:val="14"/>
                <w:szCs w:val="14"/>
                <w:vertAlign w:val="subscript"/>
                <w:lang w:val="en-US"/>
              </w:rPr>
              <w:t xml:space="preserve"> </w:t>
            </w:r>
            <w:r w:rsidR="000579E0" w:rsidRPr="000272EE">
              <w:rPr>
                <w:i/>
                <w:color w:val="5A7E92" w:themeColor="accent2"/>
                <w:sz w:val="14"/>
                <w:szCs w:val="14"/>
                <w:lang w:val="en-US"/>
              </w:rPr>
              <w:t>/ 0.042m</w:t>
            </w:r>
            <w:r w:rsidR="000579E0" w:rsidRPr="000272EE">
              <w:rPr>
                <w:i/>
                <w:color w:val="5A7E92" w:themeColor="accent2"/>
                <w:sz w:val="14"/>
                <w:szCs w:val="14"/>
                <w:vertAlign w:val="superscript"/>
                <w:lang w:val="en-US"/>
              </w:rPr>
              <w:t>3</w:t>
            </w:r>
            <w:r w:rsidR="000579E0" w:rsidRPr="000272EE">
              <w:rPr>
                <w:i/>
                <w:color w:val="5A7E92" w:themeColor="accent2"/>
                <w:sz w:val="14"/>
                <w:szCs w:val="14"/>
                <w:lang w:val="en-US"/>
              </w:rPr>
              <w:t xml:space="preserve"> and there is likely to be residual combustible gas, consider on a risk basis the need to gas free the volume before breaking containment (see table for examples of the volume for common pipe diameters).</w:t>
            </w:r>
          </w:p>
          <w:p w14:paraId="68002462" w14:textId="1BDC7466" w:rsidR="00A919AB" w:rsidRPr="000272EE" w:rsidRDefault="00A919AB" w:rsidP="004A1EDF">
            <w:pPr>
              <w:pStyle w:val="BHPBTableSubheading"/>
              <w:spacing w:after="40"/>
              <w:ind w:left="302" w:hanging="302"/>
              <w:rPr>
                <w:i/>
                <w:color w:val="808080" w:themeColor="background1" w:themeShade="80"/>
                <w:sz w:val="17"/>
                <w:szCs w:val="17"/>
                <w:lang w:val="en-US"/>
              </w:rPr>
            </w:pPr>
          </w:p>
          <w:tbl>
            <w:tblPr>
              <w:tblStyle w:val="TableGrid"/>
              <w:tblW w:w="0" w:type="auto"/>
              <w:tblInd w:w="1115" w:type="dxa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4770"/>
            </w:tblGrid>
            <w:tr w:rsidR="00A919AB" w14:paraId="05044173" w14:textId="77777777" w:rsidTr="00085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7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08080" w:themeFill="background1" w:themeFillShade="80"/>
                </w:tcPr>
                <w:p w14:paraId="6880A9E0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color w:val="FFFFFF" w:themeColor="background1"/>
                      <w:sz w:val="17"/>
                      <w:szCs w:val="17"/>
                    </w:rPr>
                  </w:pPr>
                  <w:r>
                    <w:rPr>
                      <w:color w:val="FFFFFF" w:themeColor="background1"/>
                      <w:sz w:val="17"/>
                    </w:rPr>
                    <w:t>Diámetro de tubería</w:t>
                  </w:r>
                </w:p>
              </w:tc>
              <w:tc>
                <w:tcPr>
                  <w:tcW w:w="477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08080" w:themeFill="background1" w:themeFillShade="80"/>
                </w:tcPr>
                <w:p w14:paraId="2B01F442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color w:val="FFFFFF" w:themeColor="background1"/>
                      <w:sz w:val="17"/>
                      <w:szCs w:val="17"/>
                    </w:rPr>
                  </w:pPr>
                  <w:r>
                    <w:rPr>
                      <w:color w:val="FFFFFF" w:themeColor="background1"/>
                      <w:sz w:val="17"/>
                    </w:rPr>
                    <w:t>Umbral</w:t>
                  </w:r>
                </w:p>
              </w:tc>
            </w:tr>
            <w:tr w:rsidR="00A919AB" w:rsidRPr="000272EE" w14:paraId="362A1517" w14:textId="77777777" w:rsidTr="00085ABA">
              <w:tc>
                <w:tcPr>
                  <w:tcW w:w="2735" w:type="dxa"/>
                </w:tcPr>
                <w:p w14:paraId="0F4F9878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2 pulg. / 5.1 cm</w:t>
                  </w:r>
                </w:p>
              </w:tc>
              <w:tc>
                <w:tcPr>
                  <w:tcW w:w="4770" w:type="dxa"/>
                </w:tcPr>
                <w:p w14:paraId="0AEA56DF" w14:textId="77777777" w:rsidR="00A919AB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</w:rPr>
                  </w:pP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Longitud de tubo de 65 pies / 19.8 m o más</w:t>
                  </w:r>
                </w:p>
                <w:p w14:paraId="7B98F634" w14:textId="078888EF" w:rsidR="000579E0" w:rsidRPr="000272EE" w:rsidRDefault="000579E0" w:rsidP="00D41DF4">
                  <w:pPr>
                    <w:pStyle w:val="BHPBTableSubheading"/>
                    <w:spacing w:before="40" w:after="40"/>
                    <w:jc w:val="center"/>
                    <w:rPr>
                      <w:i/>
                      <w:color w:val="808080" w:themeColor="background1" w:themeShade="80"/>
                      <w:sz w:val="14"/>
                      <w:szCs w:val="14"/>
                      <w:lang w:val="en-US"/>
                    </w:rPr>
                  </w:pP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lang w:val="en-US"/>
                    </w:rPr>
                    <w:t>(Pipe length 65-ft / 19.8-m or more)</w:t>
                  </w:r>
                </w:p>
              </w:tc>
            </w:tr>
            <w:tr w:rsidR="00A919AB" w:rsidRPr="000272EE" w14:paraId="634B22EE" w14:textId="77777777" w:rsidTr="00085ABA">
              <w:tc>
                <w:tcPr>
                  <w:tcW w:w="2735" w:type="dxa"/>
                </w:tcPr>
                <w:p w14:paraId="0777D1ED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6 pulg. / 15.2 cm</w:t>
                  </w:r>
                </w:p>
              </w:tc>
              <w:tc>
                <w:tcPr>
                  <w:tcW w:w="4770" w:type="dxa"/>
                </w:tcPr>
                <w:p w14:paraId="1BF9EE07" w14:textId="77777777" w:rsidR="00A919AB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</w:rPr>
                  </w:pP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Longitud de tubo de 8 pies / 2.4 m o más</w:t>
                  </w:r>
                </w:p>
                <w:p w14:paraId="1ABD17EA" w14:textId="7A42CD5B" w:rsidR="000579E0" w:rsidRPr="000272EE" w:rsidRDefault="00FC0604" w:rsidP="00D41DF4">
                  <w:pPr>
                    <w:pStyle w:val="BHPBTableSubheading"/>
                    <w:spacing w:before="40" w:after="40"/>
                    <w:jc w:val="center"/>
                    <w:rPr>
                      <w:i/>
                      <w:color w:val="808080" w:themeColor="background1" w:themeShade="80"/>
                      <w:sz w:val="14"/>
                      <w:szCs w:val="14"/>
                      <w:lang w:val="en-US"/>
                    </w:rPr>
                  </w:pP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lang w:val="en-US"/>
                    </w:rPr>
                    <w:t>(Pipe length 8-ft / 2.4-m or more)</w:t>
                  </w:r>
                </w:p>
              </w:tc>
            </w:tr>
            <w:tr w:rsidR="00A919AB" w:rsidRPr="000272EE" w14:paraId="52282259" w14:textId="77777777" w:rsidTr="00085ABA">
              <w:tc>
                <w:tcPr>
                  <w:tcW w:w="2735" w:type="dxa"/>
                </w:tcPr>
                <w:p w14:paraId="5487E3C5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12 pulg. / 30.5 cm</w:t>
                  </w:r>
                </w:p>
              </w:tc>
              <w:tc>
                <w:tcPr>
                  <w:tcW w:w="4770" w:type="dxa"/>
                </w:tcPr>
                <w:p w14:paraId="6FCD0C4C" w14:textId="77777777" w:rsidR="00A919AB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</w:rPr>
                  </w:pP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Longitud de tubo de 2 pies / 0.6 m o más</w:t>
                  </w:r>
                </w:p>
                <w:p w14:paraId="7C39D833" w14:textId="0B02A6E8" w:rsidR="00FC0604" w:rsidRPr="000272EE" w:rsidRDefault="00FC0604" w:rsidP="00D41DF4">
                  <w:pPr>
                    <w:pStyle w:val="BHPBTableSubheading"/>
                    <w:spacing w:before="40" w:after="40"/>
                    <w:jc w:val="center"/>
                    <w:rPr>
                      <w:i/>
                      <w:color w:val="808080" w:themeColor="background1" w:themeShade="80"/>
                      <w:sz w:val="14"/>
                      <w:szCs w:val="14"/>
                      <w:lang w:val="en-US"/>
                    </w:rPr>
                  </w:pP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lang w:val="en-US"/>
                    </w:rPr>
                    <w:t>(Pipe length 2-ft / 0.6-m or more)</w:t>
                  </w:r>
                </w:p>
              </w:tc>
            </w:tr>
            <w:tr w:rsidR="00A919AB" w:rsidRPr="000272EE" w14:paraId="0D71363F" w14:textId="77777777" w:rsidTr="00085ABA">
              <w:tc>
                <w:tcPr>
                  <w:tcW w:w="2735" w:type="dxa"/>
                </w:tcPr>
                <w:p w14:paraId="68BA9A0E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Tanque</w:t>
                  </w:r>
                </w:p>
              </w:tc>
              <w:tc>
                <w:tcPr>
                  <w:tcW w:w="4770" w:type="dxa"/>
                </w:tcPr>
                <w:p w14:paraId="7FC9B711" w14:textId="77777777" w:rsidR="00A919AB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</w:rPr>
                  </w:pP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&gt; 1.5 pies</w:t>
                  </w:r>
                  <w:r>
                    <w:rPr>
                      <w:b w:val="0"/>
                      <w:color w:val="808080" w:themeColor="background1" w:themeShade="80"/>
                      <w:sz w:val="17"/>
                      <w:vertAlign w:val="superscript"/>
                    </w:rPr>
                    <w:t>3</w:t>
                  </w:r>
                  <w:r>
                    <w:rPr>
                      <w:b w:val="0"/>
                      <w:color w:val="808080" w:themeColor="background1" w:themeShade="80"/>
                      <w:sz w:val="17"/>
                      <w:vertAlign w:val="subscript"/>
                    </w:rPr>
                    <w:t xml:space="preserve"> </w:t>
                  </w: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>/ 0.042m</w:t>
                  </w:r>
                  <w:r>
                    <w:rPr>
                      <w:b w:val="0"/>
                      <w:color w:val="808080" w:themeColor="background1" w:themeShade="80"/>
                      <w:sz w:val="17"/>
                      <w:vertAlign w:val="superscript"/>
                    </w:rPr>
                    <w:t>3</w:t>
                  </w:r>
                  <w:r>
                    <w:rPr>
                      <w:b w:val="0"/>
                      <w:color w:val="808080" w:themeColor="background1" w:themeShade="80"/>
                      <w:sz w:val="17"/>
                    </w:rPr>
                    <w:t xml:space="preserve"> equivalente a 10 galones / 43 litros</w:t>
                  </w:r>
                </w:p>
                <w:p w14:paraId="59B4F03D" w14:textId="0AD2523E" w:rsidR="00FC0604" w:rsidRPr="000272EE" w:rsidRDefault="00FC0604" w:rsidP="00D41DF4">
                  <w:pPr>
                    <w:pStyle w:val="BHPBTableSubheading"/>
                    <w:spacing w:before="40" w:after="40"/>
                    <w:jc w:val="center"/>
                    <w:rPr>
                      <w:i/>
                      <w:color w:val="808080" w:themeColor="background1" w:themeShade="80"/>
                      <w:sz w:val="14"/>
                      <w:szCs w:val="14"/>
                      <w:lang w:val="en-US"/>
                    </w:rPr>
                  </w:pP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lang w:val="en-US"/>
                    </w:rPr>
                    <w:t>(&gt; 1.5ft</w:t>
                  </w: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vertAlign w:val="superscript"/>
                      <w:lang w:val="en-US"/>
                    </w:rPr>
                    <w:t>3</w:t>
                  </w: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vertAlign w:val="subscript"/>
                      <w:lang w:val="en-US"/>
                    </w:rPr>
                    <w:t xml:space="preserve"> </w:t>
                  </w: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lang w:val="en-US"/>
                    </w:rPr>
                    <w:t>/ 0.042m</w:t>
                  </w: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vertAlign w:val="superscript"/>
                      <w:lang w:val="en-US"/>
                    </w:rPr>
                    <w:t>3</w:t>
                  </w:r>
                  <w:r w:rsidRPr="000272EE">
                    <w:rPr>
                      <w:i/>
                      <w:color w:val="5A7E92" w:themeColor="accent2"/>
                      <w:sz w:val="14"/>
                      <w:szCs w:val="14"/>
                      <w:lang w:val="en-US"/>
                    </w:rPr>
                    <w:t xml:space="preserve"> equivalent to 10 gallons / 43 liters)</w:t>
                  </w:r>
                </w:p>
              </w:tc>
            </w:tr>
          </w:tbl>
          <w:p w14:paraId="4B3AB972" w14:textId="77777777" w:rsidR="00A919AB" w:rsidRPr="000272EE" w:rsidRDefault="00A919AB" w:rsidP="001746E9">
            <w:pPr>
              <w:pStyle w:val="BHPBTableSubheading"/>
              <w:spacing w:before="40" w:after="40"/>
              <w:rPr>
                <w:b w:val="0"/>
                <w:lang w:val="en-US"/>
              </w:rPr>
            </w:pPr>
          </w:p>
        </w:tc>
      </w:tr>
      <w:tr w:rsidR="001746E9" w:rsidRPr="000272EE" w14:paraId="4CDC4AB6" w14:textId="77777777" w:rsidTr="00FD5058">
        <w:trPr>
          <w:trHeight w:val="432"/>
        </w:trPr>
        <w:tc>
          <w:tcPr>
            <w:tcW w:w="1114" w:type="dxa"/>
          </w:tcPr>
          <w:p w14:paraId="5A1D97E7" w14:textId="77777777" w:rsidR="001746E9" w:rsidRPr="00A67A35" w:rsidRDefault="001746E9" w:rsidP="001746E9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</w:tcPr>
          <w:p w14:paraId="60ADA645" w14:textId="77777777" w:rsidR="001746E9" w:rsidRDefault="001746E9" w:rsidP="00CB17AA">
            <w:pPr>
              <w:pStyle w:val="BHPBTableSubheading"/>
              <w:spacing w:before="40" w:after="40"/>
              <w:rPr>
                <w:b w:val="0"/>
                <w:sz w:val="18"/>
              </w:rPr>
            </w:pPr>
            <w:r w:rsidRPr="00FD5058">
              <w:rPr>
                <w:b w:val="0"/>
                <w:sz w:val="18"/>
              </w:rPr>
              <w:t>Puesta a tierra / descarga eléctrica establecida (para apoyar la remoción de inventario), en caso de requerirse.</w:t>
            </w:r>
          </w:p>
          <w:p w14:paraId="3C59674A" w14:textId="684AEAF4" w:rsidR="00FC0604" w:rsidRPr="000272EE" w:rsidRDefault="00FC0604" w:rsidP="00CB17AA">
            <w:pPr>
              <w:pStyle w:val="BHPBTableSubheading"/>
              <w:spacing w:before="40" w:after="40"/>
              <w:rPr>
                <w:i/>
                <w:sz w:val="14"/>
                <w:szCs w:val="14"/>
                <w:lang w:val="en-US"/>
              </w:rPr>
            </w:pPr>
            <w:r w:rsidRPr="000272EE">
              <w:rPr>
                <w:i/>
                <w:color w:val="5A7E92" w:themeColor="accent2"/>
                <w:sz w:val="14"/>
                <w:szCs w:val="14"/>
                <w:lang w:val="en-US"/>
              </w:rPr>
              <w:t>(Electrical grounding / discharge established (to support inventory removal), if necessary.)</w:t>
            </w:r>
          </w:p>
        </w:tc>
      </w:tr>
      <w:tr w:rsidR="001746E9" w:rsidRPr="000272EE" w14:paraId="56F3702F" w14:textId="77777777" w:rsidTr="00FD5058">
        <w:trPr>
          <w:trHeight w:val="432"/>
        </w:trPr>
        <w:tc>
          <w:tcPr>
            <w:tcW w:w="1114" w:type="dxa"/>
          </w:tcPr>
          <w:p w14:paraId="3A2B173D" w14:textId="77777777" w:rsidR="001746E9" w:rsidRPr="00A67A35" w:rsidRDefault="001746E9" w:rsidP="001746E9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</w:tcPr>
          <w:p w14:paraId="544CCE35" w14:textId="77777777" w:rsidR="001746E9" w:rsidRDefault="00110639" w:rsidP="000D0A19">
            <w:pPr>
              <w:jc w:val="both"/>
              <w:rPr>
                <w:sz w:val="18"/>
              </w:rPr>
            </w:pPr>
            <w:r w:rsidRPr="00FD5058">
              <w:rPr>
                <w:sz w:val="18"/>
              </w:rPr>
              <w:t xml:space="preserve">El equipo de pruebas de gas, y registro periódico </w:t>
            </w:r>
            <w:proofErr w:type="gramStart"/>
            <w:r w:rsidRPr="00FD5058">
              <w:rPr>
                <w:sz w:val="18"/>
              </w:rPr>
              <w:t>del mismo</w:t>
            </w:r>
            <w:proofErr w:type="gramEnd"/>
            <w:r w:rsidRPr="00FD5058">
              <w:rPr>
                <w:sz w:val="18"/>
              </w:rPr>
              <w:t xml:space="preserve"> en el Registro de pruebas de gas, está</w:t>
            </w:r>
            <w:r w:rsidR="000D0A19">
              <w:rPr>
                <w:sz w:val="18"/>
              </w:rPr>
              <w:t>n</w:t>
            </w:r>
            <w:r w:rsidRPr="00FD5058">
              <w:rPr>
                <w:sz w:val="18"/>
              </w:rPr>
              <w:t xml:space="preserve"> establecidos.</w:t>
            </w:r>
          </w:p>
          <w:p w14:paraId="222740F3" w14:textId="6E37706B" w:rsidR="00FC0604" w:rsidRPr="000272EE" w:rsidRDefault="00FC0604" w:rsidP="000D0A19">
            <w:pPr>
              <w:jc w:val="both"/>
              <w:rPr>
                <w:b/>
                <w:i/>
                <w:sz w:val="14"/>
                <w:szCs w:val="14"/>
                <w:lang w:val="en-US"/>
              </w:rPr>
            </w:pPr>
            <w:r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(Gas testing equipment, and periodic recording of the same on the Gas Test Log, established.)</w:t>
            </w:r>
          </w:p>
        </w:tc>
      </w:tr>
      <w:tr w:rsidR="001746E9" w:rsidRPr="008F0BAE" w14:paraId="2794EA41" w14:textId="77777777" w:rsidTr="00FD5058">
        <w:trPr>
          <w:trHeight w:val="432"/>
        </w:trPr>
        <w:tc>
          <w:tcPr>
            <w:tcW w:w="1114" w:type="dxa"/>
          </w:tcPr>
          <w:p w14:paraId="5423A6F8" w14:textId="77777777" w:rsidR="001746E9" w:rsidRPr="00A67A35" w:rsidRDefault="001746E9" w:rsidP="001746E9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</w:tcPr>
          <w:p w14:paraId="7D044C09" w14:textId="50CE7339" w:rsidR="00FC0604" w:rsidRPr="000272EE" w:rsidRDefault="00416F9A" w:rsidP="00FD5058">
            <w:pPr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</w:pPr>
            <w:r w:rsidRPr="00FD5058">
              <w:rPr>
                <w:sz w:val="18"/>
              </w:rPr>
              <w:t>Contención secundaria disponible, en caso de requerirse.</w:t>
            </w:r>
            <w:r w:rsidR="00FC0604">
              <w:rPr>
                <w:sz w:val="18"/>
              </w:rPr>
              <w:t xml:space="preserve"> </w:t>
            </w:r>
            <w:r w:rsidR="00FC0604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(Secondary containment available, if necessary.)</w:t>
            </w:r>
          </w:p>
          <w:p w14:paraId="70581520" w14:textId="5724EBA3" w:rsidR="00FC0604" w:rsidRPr="00FC0604" w:rsidRDefault="00416F9A" w:rsidP="00FD5058">
            <w:pPr>
              <w:rPr>
                <w:b/>
                <w:i/>
                <w:color w:val="5A7E92" w:themeColor="accent2"/>
                <w:sz w:val="14"/>
              </w:rPr>
            </w:pPr>
            <w:r w:rsidRPr="00FD5058">
              <w:rPr>
                <w:b/>
                <w:sz w:val="14"/>
              </w:rPr>
              <w:t xml:space="preserve">Especifique </w:t>
            </w:r>
            <w:r w:rsidR="00FC0604" w:rsidRPr="00FC0604">
              <w:rPr>
                <w:b/>
                <w:i/>
                <w:color w:val="5A7E92" w:themeColor="accent2"/>
                <w:sz w:val="14"/>
              </w:rPr>
              <w:t>(Specify)</w:t>
            </w:r>
          </w:p>
          <w:p w14:paraId="76C96782" w14:textId="7E2F70B8" w:rsidR="001746E9" w:rsidRDefault="00416F9A" w:rsidP="00FD5058">
            <w:r w:rsidRPr="00FD5058">
              <w:rPr>
                <w:sz w:val="18"/>
              </w:rPr>
              <w:t>____________</w:t>
            </w:r>
            <w:r w:rsidR="00FD5058">
              <w:rPr>
                <w:sz w:val="18"/>
              </w:rPr>
              <w:t>_____________________________</w:t>
            </w:r>
          </w:p>
        </w:tc>
      </w:tr>
      <w:tr w:rsidR="00416F9A" w:rsidRPr="008F0BAE" w14:paraId="098679E0" w14:textId="77777777" w:rsidTr="00FD5058">
        <w:trPr>
          <w:trHeight w:val="432"/>
        </w:trPr>
        <w:tc>
          <w:tcPr>
            <w:tcW w:w="1114" w:type="dxa"/>
          </w:tcPr>
          <w:p w14:paraId="16EB7531" w14:textId="77777777" w:rsidR="00416F9A" w:rsidRPr="00A67A35" w:rsidRDefault="00416F9A" w:rsidP="001746E9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</w:tcPr>
          <w:p w14:paraId="38AE99E9" w14:textId="4D2F26B6" w:rsidR="00FC0604" w:rsidRPr="00FC0604" w:rsidRDefault="00416F9A" w:rsidP="00FC0604">
            <w:pPr>
              <w:rPr>
                <w:b/>
                <w:i/>
                <w:color w:val="5A7E92" w:themeColor="accent2"/>
                <w:sz w:val="14"/>
              </w:rPr>
            </w:pPr>
            <w:r w:rsidRPr="00FD5058">
              <w:rPr>
                <w:sz w:val="18"/>
              </w:rPr>
              <w:t xml:space="preserve">Equipo contra derrames disponible, en caso de </w:t>
            </w:r>
            <w:proofErr w:type="gramStart"/>
            <w:r w:rsidRPr="00FD5058">
              <w:rPr>
                <w:sz w:val="18"/>
              </w:rPr>
              <w:t>requerirse.</w:t>
            </w:r>
            <w:r w:rsidR="00FC0604" w:rsidRPr="00FC0604">
              <w:rPr>
                <w:b/>
                <w:i/>
                <w:color w:val="5A7E92" w:themeColor="accent2"/>
                <w:sz w:val="14"/>
                <w:szCs w:val="14"/>
              </w:rPr>
              <w:t>(</w:t>
            </w:r>
            <w:proofErr w:type="gramEnd"/>
            <w:r w:rsidR="00FC0604" w:rsidRPr="00FC0604">
              <w:rPr>
                <w:b/>
                <w:i/>
                <w:color w:val="5A7E92" w:themeColor="accent2"/>
                <w:sz w:val="14"/>
                <w:szCs w:val="14"/>
              </w:rPr>
              <w:t>Spill kit / equipment available, if necessary)</w:t>
            </w:r>
            <w:r w:rsidRPr="00FD5058">
              <w:rPr>
                <w:sz w:val="18"/>
              </w:rPr>
              <w:t xml:space="preserve"> </w:t>
            </w:r>
            <w:r w:rsidRPr="00FD5058">
              <w:rPr>
                <w:b/>
                <w:sz w:val="14"/>
              </w:rPr>
              <w:t xml:space="preserve">Especifique </w:t>
            </w:r>
            <w:r w:rsidR="00FC0604" w:rsidRPr="00FC0604">
              <w:rPr>
                <w:b/>
                <w:i/>
                <w:color w:val="5A7E92" w:themeColor="accent2"/>
                <w:sz w:val="14"/>
              </w:rPr>
              <w:t>(Specify)</w:t>
            </w:r>
          </w:p>
          <w:p w14:paraId="61FB8768" w14:textId="77777777" w:rsidR="00416F9A" w:rsidRPr="00FD5058" w:rsidRDefault="00416F9A" w:rsidP="00FD5058">
            <w:pPr>
              <w:rPr>
                <w:sz w:val="18"/>
              </w:rPr>
            </w:pPr>
            <w:r w:rsidRPr="00FD5058">
              <w:rPr>
                <w:sz w:val="18"/>
              </w:rPr>
              <w:t>____________</w:t>
            </w:r>
            <w:r w:rsidR="00FD5058">
              <w:rPr>
                <w:sz w:val="18"/>
              </w:rPr>
              <w:t>____________________________</w:t>
            </w:r>
          </w:p>
        </w:tc>
      </w:tr>
      <w:tr w:rsidR="00416F9A" w:rsidRPr="008F0BAE" w14:paraId="79ABB6AD" w14:textId="77777777" w:rsidTr="00FD5058">
        <w:trPr>
          <w:trHeight w:val="432"/>
        </w:trPr>
        <w:tc>
          <w:tcPr>
            <w:tcW w:w="1114" w:type="dxa"/>
          </w:tcPr>
          <w:p w14:paraId="06FE38BB" w14:textId="77777777" w:rsidR="00416F9A" w:rsidRPr="00A67A35" w:rsidRDefault="00416F9A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</w:tcPr>
          <w:p w14:paraId="1D53416F" w14:textId="1843EB0C" w:rsidR="00FC0604" w:rsidRPr="000272EE" w:rsidRDefault="00416F9A" w:rsidP="00FC0604">
            <w:pPr>
              <w:rPr>
                <w:b/>
                <w:i/>
                <w:color w:val="5A7E92" w:themeColor="accent2"/>
                <w:sz w:val="14"/>
                <w:lang w:val="en-US"/>
              </w:rPr>
            </w:pPr>
            <w:r w:rsidRPr="00FD5058">
              <w:rPr>
                <w:sz w:val="18"/>
              </w:rPr>
              <w:t>Equipo de protección individual, en caso de requerirse.</w:t>
            </w:r>
            <w:r w:rsidR="00FC0604">
              <w:rPr>
                <w:sz w:val="18"/>
              </w:rPr>
              <w:t xml:space="preserve"> </w:t>
            </w:r>
            <w:r w:rsidR="00FC0604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(Special PPE, if necessary)</w:t>
            </w:r>
            <w:r w:rsidRPr="000272EE">
              <w:rPr>
                <w:color w:val="5A7E92" w:themeColor="accent2"/>
                <w:sz w:val="18"/>
                <w:lang w:val="en-US"/>
              </w:rPr>
              <w:t xml:space="preserve"> </w:t>
            </w:r>
            <w:r w:rsidRPr="000272EE">
              <w:rPr>
                <w:b/>
                <w:sz w:val="14"/>
                <w:lang w:val="en-US"/>
              </w:rPr>
              <w:t xml:space="preserve">Especifique </w:t>
            </w:r>
            <w:r w:rsidR="00FC0604" w:rsidRPr="000272EE">
              <w:rPr>
                <w:b/>
                <w:i/>
                <w:color w:val="5A7E92" w:themeColor="accent2"/>
                <w:sz w:val="14"/>
                <w:lang w:val="en-US"/>
              </w:rPr>
              <w:t>(Specify)</w:t>
            </w:r>
          </w:p>
          <w:p w14:paraId="61D313CE" w14:textId="77777777" w:rsidR="00416F9A" w:rsidRPr="00FD5058" w:rsidRDefault="00416F9A" w:rsidP="00FD5058">
            <w:pPr>
              <w:rPr>
                <w:sz w:val="18"/>
              </w:rPr>
            </w:pPr>
            <w:r w:rsidRPr="00FD5058">
              <w:rPr>
                <w:sz w:val="18"/>
              </w:rPr>
              <w:t>____________</w:t>
            </w:r>
            <w:r w:rsidR="00FD5058">
              <w:rPr>
                <w:sz w:val="18"/>
              </w:rPr>
              <w:t>_______________________________</w:t>
            </w:r>
          </w:p>
        </w:tc>
      </w:tr>
      <w:tr w:rsidR="00416F9A" w:rsidRPr="008F0BAE" w14:paraId="77649019" w14:textId="77777777" w:rsidTr="00FD5058">
        <w:trPr>
          <w:trHeight w:val="432"/>
        </w:trPr>
        <w:tc>
          <w:tcPr>
            <w:tcW w:w="1114" w:type="dxa"/>
          </w:tcPr>
          <w:p w14:paraId="4B8BF9D1" w14:textId="77777777" w:rsidR="00416F9A" w:rsidRPr="00A67A35" w:rsidRDefault="00416F9A" w:rsidP="00416F9A">
            <w:pPr>
              <w:jc w:val="center"/>
            </w:pPr>
            <w:r w:rsidRPr="00A67A35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</w:tcPr>
          <w:p w14:paraId="4E8F9454" w14:textId="1AAF0A36" w:rsidR="00FC0604" w:rsidRPr="000272EE" w:rsidRDefault="00416F9A" w:rsidP="00FC0604">
            <w:pPr>
              <w:rPr>
                <w:b/>
                <w:i/>
                <w:color w:val="5A7E92" w:themeColor="accent2"/>
                <w:sz w:val="14"/>
                <w:lang w:val="en-US"/>
              </w:rPr>
            </w:pPr>
            <w:r w:rsidRPr="00FD5058">
              <w:rPr>
                <w:sz w:val="18"/>
              </w:rPr>
              <w:t>Equipo contra incendios, en caso de requerirse.</w:t>
            </w:r>
            <w:r w:rsidR="00FC0604">
              <w:rPr>
                <w:sz w:val="18"/>
              </w:rPr>
              <w:t xml:space="preserve"> </w:t>
            </w:r>
            <w:r w:rsidR="00FC0604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(Fire-fighting equipment, if necessary)</w:t>
            </w:r>
            <w:r w:rsidRPr="000272EE">
              <w:rPr>
                <w:sz w:val="18"/>
                <w:lang w:val="en-US"/>
              </w:rPr>
              <w:t xml:space="preserve"> </w:t>
            </w:r>
            <w:r w:rsidRPr="000272EE">
              <w:rPr>
                <w:b/>
                <w:sz w:val="14"/>
                <w:lang w:val="en-US"/>
              </w:rPr>
              <w:t xml:space="preserve">Especifique </w:t>
            </w:r>
            <w:r w:rsidR="00FC0604" w:rsidRPr="000272EE">
              <w:rPr>
                <w:b/>
                <w:i/>
                <w:color w:val="5A7E92" w:themeColor="accent2"/>
                <w:sz w:val="14"/>
                <w:lang w:val="en-US"/>
              </w:rPr>
              <w:t>(Specify)</w:t>
            </w:r>
          </w:p>
          <w:p w14:paraId="53FBA137" w14:textId="77777777" w:rsidR="00416F9A" w:rsidRPr="00FD5058" w:rsidRDefault="00416F9A" w:rsidP="00CB17AA">
            <w:pPr>
              <w:jc w:val="both"/>
              <w:rPr>
                <w:sz w:val="18"/>
              </w:rPr>
            </w:pPr>
            <w:r w:rsidRPr="00FD5058">
              <w:rPr>
                <w:sz w:val="18"/>
              </w:rPr>
              <w:t>_______________________________________</w:t>
            </w:r>
            <w:r w:rsidR="00FD5058">
              <w:rPr>
                <w:sz w:val="18"/>
              </w:rPr>
              <w:t>_____</w:t>
            </w:r>
            <w:r w:rsidRPr="00FD5058">
              <w:rPr>
                <w:sz w:val="18"/>
              </w:rPr>
              <w:t>_____</w:t>
            </w:r>
          </w:p>
        </w:tc>
      </w:tr>
      <w:tr w:rsidR="00416F9A" w:rsidRPr="008F0BAE" w14:paraId="70B956CC" w14:textId="77777777" w:rsidTr="00FD5058">
        <w:trPr>
          <w:trHeight w:val="296"/>
        </w:trPr>
        <w:tc>
          <w:tcPr>
            <w:tcW w:w="1114" w:type="dxa"/>
            <w:tcBorders>
              <w:bottom w:val="single" w:sz="4" w:space="0" w:color="808080" w:themeColor="background1" w:themeShade="80"/>
            </w:tcBorders>
          </w:tcPr>
          <w:p w14:paraId="67F8F61B" w14:textId="77777777" w:rsidR="00416F9A" w:rsidRPr="00A67A35" w:rsidRDefault="00416F9A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  <w:tcBorders>
              <w:bottom w:val="single" w:sz="4" w:space="0" w:color="808080" w:themeColor="background1" w:themeShade="80"/>
            </w:tcBorders>
          </w:tcPr>
          <w:p w14:paraId="550660B8" w14:textId="6AE987F2" w:rsidR="00416F9A" w:rsidRPr="00FC2BC7" w:rsidRDefault="00416F9A" w:rsidP="00416F9A">
            <w:pPr>
              <w:jc w:val="both"/>
            </w:pPr>
            <w:r>
              <w:t>Plan de paro de emergencia establecido.</w:t>
            </w:r>
            <w:r w:rsidR="003C5CD9">
              <w:t xml:space="preserve"> </w:t>
            </w:r>
            <w:r w:rsidR="00FC0604">
              <w:rPr>
                <w:b/>
                <w:i/>
                <w:color w:val="5A7E92" w:themeColor="accent2"/>
                <w:sz w:val="14"/>
                <w:szCs w:val="14"/>
              </w:rPr>
              <w:t>(</w:t>
            </w:r>
            <w:r w:rsidR="00FC0604" w:rsidRPr="00FC0604">
              <w:rPr>
                <w:b/>
                <w:i/>
                <w:color w:val="5A7E92" w:themeColor="accent2"/>
                <w:sz w:val="14"/>
                <w:szCs w:val="14"/>
              </w:rPr>
              <w:t>Emergency shutdown plan established.)</w:t>
            </w:r>
          </w:p>
        </w:tc>
      </w:tr>
      <w:tr w:rsidR="00FD5058" w:rsidRPr="008F0BAE" w14:paraId="73329E42" w14:textId="77777777" w:rsidTr="00FD5058">
        <w:trPr>
          <w:trHeight w:val="530"/>
        </w:trPr>
        <w:tc>
          <w:tcPr>
            <w:tcW w:w="1114" w:type="dxa"/>
            <w:tcBorders>
              <w:top w:val="single" w:sz="4" w:space="0" w:color="808080" w:themeColor="background1" w:themeShade="80"/>
            </w:tcBorders>
          </w:tcPr>
          <w:p w14:paraId="1143B5CA" w14:textId="77777777" w:rsidR="00FD5058" w:rsidRPr="00A67A35" w:rsidRDefault="00FD5058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  <w:tcBorders>
              <w:top w:val="single" w:sz="4" w:space="0" w:color="808080" w:themeColor="background1" w:themeShade="80"/>
            </w:tcBorders>
          </w:tcPr>
          <w:p w14:paraId="1E02053C" w14:textId="7270C2AE" w:rsidR="00FC0604" w:rsidRPr="00FC0604" w:rsidRDefault="00FD5058" w:rsidP="00FC0604">
            <w:pPr>
              <w:rPr>
                <w:b/>
                <w:i/>
                <w:color w:val="5A7E92" w:themeColor="accent2"/>
                <w:sz w:val="14"/>
              </w:rPr>
            </w:pPr>
            <w:r w:rsidRPr="00FD5058">
              <w:rPr>
                <w:sz w:val="18"/>
              </w:rPr>
              <w:t xml:space="preserve">Personal especializado y competencias definidos, en caso de requerirse </w:t>
            </w:r>
            <w:r w:rsidRPr="00FD5058">
              <w:rPr>
                <w:color w:val="808080" w:themeColor="background1" w:themeShade="80"/>
                <w:sz w:val="14"/>
                <w:szCs w:val="14"/>
              </w:rPr>
              <w:t>(p. ej. certificación en amianto)</w:t>
            </w:r>
            <w:r w:rsidRPr="00FD5058">
              <w:rPr>
                <w:sz w:val="14"/>
                <w:szCs w:val="14"/>
              </w:rPr>
              <w:t>.</w:t>
            </w:r>
            <w:r w:rsidR="003C5CD9" w:rsidRPr="003C5CD9">
              <w:rPr>
                <w:b/>
                <w:i/>
                <w:color w:val="5A7E92" w:themeColor="accent2"/>
                <w:sz w:val="14"/>
                <w:szCs w:val="14"/>
              </w:rPr>
              <w:t xml:space="preserve"> </w:t>
            </w:r>
            <w:r w:rsidR="003C5CD9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(Specialist personnel / skills defined, if needed (</w:t>
            </w:r>
            <w:proofErr w:type="gramStart"/>
            <w:r w:rsidR="003C5CD9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e.g.</w:t>
            </w:r>
            <w:proofErr w:type="gramEnd"/>
            <w:r w:rsidR="003C5CD9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 xml:space="preserve"> asbestos certified).) </w:t>
            </w:r>
            <w:r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 xml:space="preserve"> </w:t>
            </w:r>
            <w:r w:rsidRPr="00FD5058">
              <w:rPr>
                <w:b/>
                <w:sz w:val="14"/>
              </w:rPr>
              <w:t xml:space="preserve">Especifique </w:t>
            </w:r>
            <w:r w:rsidR="00FC0604" w:rsidRPr="00FC0604">
              <w:rPr>
                <w:b/>
                <w:i/>
                <w:color w:val="5A7E92" w:themeColor="accent2"/>
                <w:sz w:val="14"/>
              </w:rPr>
              <w:t>(Specify)</w:t>
            </w:r>
          </w:p>
          <w:p w14:paraId="6DA1CC97" w14:textId="77777777" w:rsidR="00FD5058" w:rsidRDefault="00FD5058" w:rsidP="00FD5058">
            <w:r>
              <w:t>_________</w:t>
            </w:r>
          </w:p>
        </w:tc>
      </w:tr>
      <w:tr w:rsidR="00B07525" w:rsidRPr="000272EE" w14:paraId="75B9C180" w14:textId="77777777" w:rsidTr="00FD5058">
        <w:trPr>
          <w:trHeight w:val="432"/>
        </w:trPr>
        <w:tc>
          <w:tcPr>
            <w:tcW w:w="1114" w:type="dxa"/>
            <w:tcBorders>
              <w:top w:val="single" w:sz="2" w:space="0" w:color="919181" w:themeColor="accent3"/>
              <w:bottom w:val="single" w:sz="18" w:space="0" w:color="5A7E92" w:themeColor="accent2"/>
            </w:tcBorders>
          </w:tcPr>
          <w:p w14:paraId="77EE4F45" w14:textId="77777777" w:rsidR="00B07525" w:rsidRPr="00FC2BC7" w:rsidRDefault="00B07525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50252A">
              <w:fldChar w:fldCharType="separate"/>
            </w:r>
            <w:r w:rsidRPr="00A67A35">
              <w:fldChar w:fldCharType="end"/>
            </w:r>
          </w:p>
        </w:tc>
        <w:tc>
          <w:tcPr>
            <w:tcW w:w="9925" w:type="dxa"/>
            <w:gridSpan w:val="3"/>
            <w:tcBorders>
              <w:top w:val="single" w:sz="2" w:space="0" w:color="919181" w:themeColor="accent3"/>
              <w:bottom w:val="single" w:sz="18" w:space="0" w:color="5A7E92" w:themeColor="accent2"/>
            </w:tcBorders>
          </w:tcPr>
          <w:p w14:paraId="0C640FAB" w14:textId="56A1A031" w:rsidR="003C5CD9" w:rsidRPr="000272EE" w:rsidRDefault="00B07525" w:rsidP="00FD5058">
            <w:pPr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</w:pPr>
            <w:r w:rsidRPr="00FD5058">
              <w:rPr>
                <w:sz w:val="18"/>
              </w:rPr>
              <w:t xml:space="preserve">Riesgos y controles de energía residual importante definidos en JRA </w:t>
            </w:r>
            <w:r w:rsidRPr="000D0A19">
              <w:rPr>
                <w:color w:val="808080" w:themeColor="background1" w:themeShade="80"/>
                <w:sz w:val="13"/>
                <w:szCs w:val="13"/>
              </w:rPr>
              <w:t>(p. ej. par/resorte en tubo, herrumbre pirofórica, retención de líquido).</w:t>
            </w:r>
            <w:r w:rsidR="003C5CD9">
              <w:rPr>
                <w:color w:val="808080" w:themeColor="background1" w:themeShade="80"/>
                <w:sz w:val="13"/>
                <w:szCs w:val="13"/>
              </w:rPr>
              <w:t xml:space="preserve"> </w:t>
            </w:r>
            <w:r w:rsidR="003C5CD9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(Critical residual energy hazards and controls defined in JRA (</w:t>
            </w:r>
            <w:proofErr w:type="gramStart"/>
            <w:r w:rsidR="003C5CD9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>e.g.</w:t>
            </w:r>
            <w:proofErr w:type="gramEnd"/>
            <w:r w:rsidR="003C5CD9" w:rsidRPr="000272EE">
              <w:rPr>
                <w:b/>
                <w:i/>
                <w:color w:val="5A7E92" w:themeColor="accent2"/>
                <w:sz w:val="14"/>
                <w:szCs w:val="14"/>
                <w:lang w:val="en-US"/>
              </w:rPr>
              <w:t xml:space="preserve"> torque/spring in pipe, pyrophoric scale, liquid hold-up).)</w:t>
            </w:r>
          </w:p>
        </w:tc>
      </w:tr>
    </w:tbl>
    <w:p w14:paraId="7241360C" w14:textId="77777777" w:rsidR="000D5F5B" w:rsidRPr="000272EE" w:rsidRDefault="000D5F5B" w:rsidP="005A0A3F">
      <w:pPr>
        <w:pStyle w:val="Spacer-8pttext"/>
        <w:rPr>
          <w:lang w:val="en-US"/>
        </w:rPr>
      </w:pPr>
    </w:p>
    <w:tbl>
      <w:tblPr>
        <w:tblStyle w:val="BHPBFormTableStyle"/>
        <w:tblW w:w="0" w:type="auto"/>
        <w:tblLook w:val="04A0" w:firstRow="1" w:lastRow="0" w:firstColumn="1" w:lastColumn="0" w:noHBand="0" w:noVBand="1"/>
      </w:tblPr>
      <w:tblGrid>
        <w:gridCol w:w="1327"/>
        <w:gridCol w:w="4713"/>
        <w:gridCol w:w="4714"/>
      </w:tblGrid>
      <w:tr w:rsidR="005A0A3F" w14:paraId="41D1169E" w14:textId="77777777" w:rsidTr="00464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54" w:type="dxa"/>
            <w:gridSpan w:val="3"/>
            <w:tcBorders>
              <w:top w:val="single" w:sz="18" w:space="0" w:color="5A7E92" w:themeColor="accent2"/>
              <w:left w:val="single" w:sz="18" w:space="0" w:color="5A7E92" w:themeColor="accent2"/>
              <w:bottom w:val="nil"/>
              <w:right w:val="single" w:sz="18" w:space="0" w:color="5A7E92" w:themeColor="accent2"/>
            </w:tcBorders>
            <w:shd w:val="clear" w:color="auto" w:fill="5A7E92" w:themeFill="accent2"/>
          </w:tcPr>
          <w:p w14:paraId="4AC34F96" w14:textId="77777777" w:rsidR="005A0A3F" w:rsidRDefault="005A0A3F" w:rsidP="00E96B7D">
            <w:r>
              <w:t>Plan de restablecimiento</w:t>
            </w:r>
          </w:p>
        </w:tc>
      </w:tr>
      <w:tr w:rsidR="00250B18" w14:paraId="724437A3" w14:textId="77777777" w:rsidTr="004649EE">
        <w:trPr>
          <w:trHeight w:val="2070"/>
        </w:trPr>
        <w:tc>
          <w:tcPr>
            <w:tcW w:w="1327" w:type="dxa"/>
            <w:tcBorders>
              <w:top w:val="nil"/>
              <w:left w:val="single" w:sz="18" w:space="0" w:color="5A7E92" w:themeColor="accent2"/>
              <w:right w:val="single" w:sz="2" w:space="0" w:color="919181" w:themeColor="accent3"/>
            </w:tcBorders>
            <w:shd w:val="clear" w:color="auto" w:fill="D1D1C5" w:themeFill="background2"/>
          </w:tcPr>
          <w:p w14:paraId="73DE66C2" w14:textId="77777777" w:rsidR="00250B18" w:rsidRDefault="00250B18" w:rsidP="00B721DD">
            <w:pPr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Puntos a considerar</w:t>
            </w:r>
            <w:proofErr w:type="gramEnd"/>
            <w:r>
              <w:rPr>
                <w:b/>
                <w:sz w:val="18"/>
              </w:rPr>
              <w:t>:</w:t>
            </w:r>
          </w:p>
          <w:p w14:paraId="0D5D7F2C" w14:textId="5BB74EDC" w:rsidR="00C4120C" w:rsidRPr="00C4120C" w:rsidRDefault="00C4120C" w:rsidP="00B721DD">
            <w:pPr>
              <w:rPr>
                <w:b/>
                <w:i/>
                <w:sz w:val="14"/>
                <w:szCs w:val="14"/>
              </w:rPr>
            </w:pPr>
            <w:r w:rsidRPr="00C4120C">
              <w:rPr>
                <w:b/>
                <w:i/>
                <w:color w:val="5A7E92" w:themeColor="accent2"/>
                <w:sz w:val="14"/>
                <w:szCs w:val="14"/>
              </w:rPr>
              <w:t>(Points to consider)</w:t>
            </w:r>
          </w:p>
        </w:tc>
        <w:tc>
          <w:tcPr>
            <w:tcW w:w="4713" w:type="dxa"/>
            <w:tcBorders>
              <w:top w:val="nil"/>
              <w:left w:val="single" w:sz="2" w:space="0" w:color="919181" w:themeColor="accent3"/>
              <w:right w:val="nil"/>
            </w:tcBorders>
            <w:shd w:val="clear" w:color="auto" w:fill="D9D9D9" w:themeFill="background1" w:themeFillShade="D9"/>
          </w:tcPr>
          <w:p w14:paraId="56E4714E" w14:textId="733C5532" w:rsidR="00250B18" w:rsidRPr="00C4120C" w:rsidRDefault="00250B18" w:rsidP="00C4120C">
            <w:pPr>
              <w:pStyle w:val="BHPBBullet-Level1"/>
              <w:spacing w:before="120" w:after="120"/>
              <w:ind w:left="360"/>
              <w:rPr>
                <w:sz w:val="18"/>
                <w:szCs w:val="18"/>
              </w:rPr>
            </w:pPr>
            <w:r>
              <w:rPr>
                <w:sz w:val="18"/>
              </w:rPr>
              <w:t>Los dispositivos de seguridad volverán al servicio antes de introducir la presión</w:t>
            </w:r>
            <w:r w:rsidR="00C4120C">
              <w:rPr>
                <w:sz w:val="18"/>
              </w:rPr>
              <w:t xml:space="preserve"> </w:t>
            </w:r>
            <w:r w:rsidR="00C4120C" w:rsidRPr="00C4120C">
              <w:rPr>
                <w:b/>
                <w:i/>
                <w:color w:val="5A7E92" w:themeColor="accent2"/>
                <w:sz w:val="14"/>
                <w:szCs w:val="14"/>
              </w:rPr>
              <w:t>(Safety devices returned to service before introducing pressure)</w:t>
            </w:r>
          </w:p>
          <w:p w14:paraId="14DBB1A1" w14:textId="3556BE4F" w:rsidR="00250B18" w:rsidRPr="00C4120C" w:rsidRDefault="00250B18" w:rsidP="00C4120C">
            <w:pPr>
              <w:pStyle w:val="BHPBBullet-Level1"/>
              <w:spacing w:before="120" w:after="120"/>
              <w:ind w:left="360"/>
              <w:rPr>
                <w:b/>
                <w:i/>
                <w:color w:val="5A7E92" w:themeColor="accent2"/>
                <w:sz w:val="14"/>
                <w:szCs w:val="14"/>
              </w:rPr>
            </w:pPr>
            <w:r>
              <w:rPr>
                <w:sz w:val="18"/>
              </w:rPr>
              <w:t>Todos los puntos de ruptura están conformados y se han revisado las fugas (ensayos no destructivo</w:t>
            </w:r>
            <w:r w:rsidR="00DE301F">
              <w:rPr>
                <w:sz w:val="18"/>
              </w:rPr>
              <w:t>s</w:t>
            </w:r>
            <w:r>
              <w:rPr>
                <w:sz w:val="18"/>
              </w:rPr>
              <w:t>, en caso de requerirse)</w:t>
            </w:r>
            <w:r w:rsidR="00C4120C">
              <w:rPr>
                <w:sz w:val="18"/>
              </w:rPr>
              <w:t xml:space="preserve"> </w:t>
            </w:r>
            <w:r w:rsidR="00C4120C" w:rsidRPr="00C4120C">
              <w:rPr>
                <w:b/>
                <w:i/>
                <w:color w:val="5A7E92" w:themeColor="accent2"/>
                <w:sz w:val="14"/>
                <w:szCs w:val="14"/>
              </w:rPr>
              <w:t>(All break points made up and leak checked (non-destructive tested, if required)</w:t>
            </w:r>
          </w:p>
          <w:p w14:paraId="4B3A1D5E" w14:textId="27F36A90" w:rsidR="00C4120C" w:rsidRPr="00C4120C" w:rsidRDefault="00712FF9" w:rsidP="00C4120C">
            <w:pPr>
              <w:pStyle w:val="BHPBBullet-Level1"/>
              <w:spacing w:before="120" w:after="120"/>
              <w:ind w:left="360"/>
              <w:rPr>
                <w:sz w:val="18"/>
                <w:szCs w:val="18"/>
              </w:rPr>
            </w:pPr>
            <w:r>
              <w:rPr>
                <w:sz w:val="18"/>
              </w:rPr>
              <w:t>Liberación de aire o niveles de líquido establecidos</w:t>
            </w:r>
            <w:r w:rsidR="00C4120C">
              <w:rPr>
                <w:sz w:val="18"/>
              </w:rPr>
              <w:t xml:space="preserve"> </w:t>
            </w:r>
            <w:r w:rsidR="00C4120C" w:rsidRPr="00C4120C">
              <w:rPr>
                <w:b/>
                <w:i/>
                <w:color w:val="5A7E92" w:themeColor="accent2"/>
                <w:sz w:val="14"/>
                <w:szCs w:val="14"/>
              </w:rPr>
              <w:t>(Air freeing or liquid levels established)</w:t>
            </w:r>
          </w:p>
        </w:tc>
        <w:tc>
          <w:tcPr>
            <w:tcW w:w="4714" w:type="dxa"/>
            <w:tcBorders>
              <w:top w:val="nil"/>
              <w:left w:val="nil"/>
              <w:right w:val="single" w:sz="18" w:space="0" w:color="5A7E92" w:themeColor="accent2"/>
            </w:tcBorders>
            <w:shd w:val="clear" w:color="auto" w:fill="D9D9D9" w:themeFill="background1" w:themeFillShade="D9"/>
          </w:tcPr>
          <w:p w14:paraId="0F857B9D" w14:textId="5C06FC19" w:rsidR="00250B18" w:rsidRPr="00C4120C" w:rsidRDefault="00712FF9" w:rsidP="00C4120C">
            <w:pPr>
              <w:pStyle w:val="BHPBBullet-Level1"/>
              <w:spacing w:before="120" w:after="120"/>
              <w:ind w:left="360"/>
              <w:rPr>
                <w:sz w:val="18"/>
                <w:szCs w:val="18"/>
              </w:rPr>
            </w:pPr>
            <w:r>
              <w:rPr>
                <w:sz w:val="18"/>
              </w:rPr>
              <w:t>Puntos de aislamiento removidos en una secuencia específica (según el certificado de aislamiento)</w:t>
            </w:r>
            <w:r w:rsidR="00C4120C">
              <w:rPr>
                <w:sz w:val="18"/>
              </w:rPr>
              <w:t xml:space="preserve"> </w:t>
            </w:r>
            <w:r w:rsidR="00C4120C" w:rsidRPr="00C4120C">
              <w:rPr>
                <w:b/>
                <w:i/>
                <w:color w:val="5A7E92" w:themeColor="accent2"/>
                <w:sz w:val="14"/>
                <w:szCs w:val="14"/>
              </w:rPr>
              <w:t>(Isolation points removed in specific sequence (as per Isolation Certificate)</w:t>
            </w:r>
          </w:p>
          <w:p w14:paraId="0EE3EF0F" w14:textId="0BBD1C0D" w:rsidR="00250B18" w:rsidRPr="00B721DD" w:rsidRDefault="00712FF9" w:rsidP="00D40919">
            <w:pPr>
              <w:pStyle w:val="BHPBBullet-Level1"/>
              <w:spacing w:before="120" w:after="120"/>
              <w:ind w:left="360"/>
            </w:pPr>
            <w:r>
              <w:rPr>
                <w:sz w:val="18"/>
              </w:rPr>
              <w:t>Procedimiento documentado disponible para la puesta en marcha</w:t>
            </w:r>
            <w:r w:rsidR="00C4120C">
              <w:rPr>
                <w:sz w:val="18"/>
              </w:rPr>
              <w:t xml:space="preserve"> </w:t>
            </w:r>
            <w:r w:rsidR="00D40919" w:rsidRPr="00D40919">
              <w:rPr>
                <w:b/>
                <w:i/>
                <w:color w:val="5A7E92" w:themeColor="accent2"/>
                <w:sz w:val="14"/>
                <w:szCs w:val="14"/>
              </w:rPr>
              <w:t xml:space="preserve">(Documented procedure available for </w:t>
            </w:r>
            <w:proofErr w:type="gramStart"/>
            <w:r w:rsidR="00D40919" w:rsidRPr="00D40919">
              <w:rPr>
                <w:b/>
                <w:i/>
                <w:color w:val="5A7E92" w:themeColor="accent2"/>
                <w:sz w:val="14"/>
                <w:szCs w:val="14"/>
              </w:rPr>
              <w:t>start-up</w:t>
            </w:r>
            <w:proofErr w:type="gramEnd"/>
            <w:r w:rsidR="00D40919" w:rsidRPr="00D40919">
              <w:rPr>
                <w:b/>
                <w:i/>
                <w:color w:val="5A7E92" w:themeColor="accent2"/>
                <w:sz w:val="14"/>
                <w:szCs w:val="14"/>
              </w:rPr>
              <w:t>)</w:t>
            </w:r>
          </w:p>
          <w:p w14:paraId="5956CEB1" w14:textId="7B01DD36" w:rsidR="00250B18" w:rsidRDefault="00250B18" w:rsidP="00250B18">
            <w:pPr>
              <w:pStyle w:val="BHPBBullet-Level1"/>
              <w:spacing w:before="120" w:after="120"/>
              <w:ind w:left="360"/>
            </w:pPr>
            <w:r>
              <w:rPr>
                <w:sz w:val="18"/>
              </w:rPr>
              <w:t>Monitoreo posterior a la puesta en marcha</w:t>
            </w:r>
            <w:r w:rsidR="00D40919">
              <w:rPr>
                <w:sz w:val="18"/>
              </w:rPr>
              <w:t xml:space="preserve"> </w:t>
            </w:r>
            <w:r w:rsidR="00D40919" w:rsidRPr="00D40919">
              <w:rPr>
                <w:b/>
                <w:i/>
                <w:color w:val="5A7E92" w:themeColor="accent2"/>
                <w:sz w:val="14"/>
                <w:szCs w:val="14"/>
              </w:rPr>
              <w:t xml:space="preserve">(Post </w:t>
            </w:r>
            <w:proofErr w:type="gramStart"/>
            <w:r w:rsidR="00D40919" w:rsidRPr="00D40919">
              <w:rPr>
                <w:b/>
                <w:i/>
                <w:color w:val="5A7E92" w:themeColor="accent2"/>
                <w:sz w:val="14"/>
                <w:szCs w:val="14"/>
              </w:rPr>
              <w:t>start-up</w:t>
            </w:r>
            <w:proofErr w:type="gramEnd"/>
            <w:r w:rsidR="00D40919" w:rsidRPr="00D40919">
              <w:rPr>
                <w:b/>
                <w:i/>
                <w:color w:val="5A7E92" w:themeColor="accent2"/>
                <w:sz w:val="14"/>
                <w:szCs w:val="14"/>
              </w:rPr>
              <w:t xml:space="preserve"> monitoring)</w:t>
            </w:r>
          </w:p>
        </w:tc>
      </w:tr>
      <w:tr w:rsidR="005A0A3F" w14:paraId="1FB7E91B" w14:textId="77777777" w:rsidTr="0046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single" w:sz="2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C947212" w14:textId="77777777" w:rsidR="00C4120C" w:rsidRDefault="005A0A3F" w:rsidP="00250B18">
            <w:pPr>
              <w:spacing w:before="40"/>
            </w:pPr>
            <w:r>
              <w:t>Desarrolle el plan de restablecimiento</w:t>
            </w:r>
          </w:p>
          <w:p w14:paraId="3E17522A" w14:textId="5A6FFDCB" w:rsidR="00FA7B1A" w:rsidRPr="00250B18" w:rsidRDefault="00C4120C" w:rsidP="00250B18">
            <w:pPr>
              <w:spacing w:before="40"/>
            </w:pPr>
            <w:r w:rsidRPr="00C4120C">
              <w:rPr>
                <w:b/>
                <w:i/>
                <w:color w:val="5A7E92" w:themeColor="accent2"/>
                <w:sz w:val="14"/>
                <w:szCs w:val="14"/>
              </w:rPr>
              <w:t>(Develop reinstatement plan</w:t>
            </w:r>
            <w:proofErr w:type="gramStart"/>
            <w:r w:rsidRPr="00C4120C">
              <w:rPr>
                <w:b/>
                <w:i/>
                <w:color w:val="5A7E92" w:themeColor="accent2"/>
                <w:sz w:val="14"/>
                <w:szCs w:val="14"/>
              </w:rPr>
              <w:t>)</w:t>
            </w:r>
            <w:r w:rsidRPr="00C4120C">
              <w:rPr>
                <w:color w:val="5A7E92" w:themeColor="accent2"/>
              </w:rPr>
              <w:t xml:space="preserve"> </w:t>
            </w:r>
            <w:r w:rsidR="005A0A3F">
              <w:t>:</w:t>
            </w:r>
            <w:proofErr w:type="gramEnd"/>
            <w:r w:rsidR="005A0A3F">
              <w:t xml:space="preserve"> </w:t>
            </w:r>
            <w:r w:rsidR="005A0A3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0A3F" w:rsidRPr="00250B18">
              <w:instrText xml:space="preserve"> FORMTEXT </w:instrText>
            </w:r>
            <w:r w:rsidR="005A0A3F">
              <w:fldChar w:fldCharType="separate"/>
            </w:r>
            <w:r w:rsidR="005A0A3F">
              <w:t>     </w:t>
            </w:r>
            <w:r w:rsidR="005A0A3F">
              <w:fldChar w:fldCharType="end"/>
            </w:r>
          </w:p>
        </w:tc>
      </w:tr>
      <w:tr w:rsidR="00250B18" w14:paraId="736AA53F" w14:textId="77777777" w:rsidTr="004649EE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6D766E19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3C112389" w14:textId="77777777" w:rsidTr="0046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D525EF1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215F6C" w14:textId="77777777" w:rsidTr="004649EE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88D0C64" w14:textId="77777777" w:rsidR="00250B18" w:rsidRPr="00250B18" w:rsidRDefault="00250B18" w:rsidP="00250B18">
            <w:pPr>
              <w:spacing w:before="40"/>
            </w:pPr>
          </w:p>
        </w:tc>
      </w:tr>
      <w:tr w:rsidR="004649EE" w14:paraId="320B0F98" w14:textId="77777777" w:rsidTr="0046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4895B344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670730DA" w14:textId="77777777" w:rsidTr="004649EE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6D621687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41F98E75" w14:textId="77777777" w:rsidTr="0046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9EA061F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71907B01" w14:textId="77777777" w:rsidTr="004649EE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DDAE504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7B180114" w14:textId="77777777" w:rsidTr="0046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4ECBCA2D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6A7B7AA6" w14:textId="77777777" w:rsidTr="004649EE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62EE4936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60EB199D" w14:textId="77777777" w:rsidTr="0046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E1D30F0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301833E2" w14:textId="77777777" w:rsidTr="004649EE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36427F3E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466B682B" w14:textId="77777777" w:rsidTr="004649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4E985E6D" w14:textId="77777777" w:rsidR="004649EE" w:rsidRPr="00250B18" w:rsidRDefault="004649EE" w:rsidP="00250B18">
            <w:pPr>
              <w:spacing w:before="40"/>
            </w:pPr>
          </w:p>
        </w:tc>
      </w:tr>
      <w:tr w:rsidR="004649EE" w14:paraId="7D81BA79" w14:textId="77777777" w:rsidTr="004649EE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1881B08" w14:textId="77777777" w:rsidR="004649EE" w:rsidRPr="00250B18" w:rsidRDefault="004649EE" w:rsidP="00250B18">
            <w:pPr>
              <w:spacing w:before="40"/>
            </w:pPr>
          </w:p>
        </w:tc>
      </w:tr>
    </w:tbl>
    <w:p w14:paraId="74DBB97A" w14:textId="77777777" w:rsidR="005A0A3F" w:rsidRDefault="005A0A3F" w:rsidP="005A0A3F"/>
    <w:tbl>
      <w:tblPr>
        <w:tblStyle w:val="BHPBFormTableStyle"/>
        <w:tblW w:w="0" w:type="auto"/>
        <w:tblLook w:val="0680" w:firstRow="0" w:lastRow="0" w:firstColumn="1" w:lastColumn="0" w:noHBand="1" w:noVBand="1"/>
      </w:tblPr>
      <w:tblGrid>
        <w:gridCol w:w="1179"/>
        <w:gridCol w:w="9611"/>
      </w:tblGrid>
      <w:tr w:rsidR="005A0A3F" w:rsidRPr="000272EE" w14:paraId="73BCBA72" w14:textId="77777777" w:rsidTr="00E96B7D">
        <w:trPr>
          <w:trHeight w:val="864"/>
        </w:trPr>
        <w:tc>
          <w:tcPr>
            <w:tcW w:w="1188" w:type="dxa"/>
            <w:tcBorders>
              <w:right w:val="nil"/>
            </w:tcBorders>
            <w:shd w:val="clear" w:color="auto" w:fill="D1D1C5" w:themeFill="background2"/>
          </w:tcPr>
          <w:p w14:paraId="2C677189" w14:textId="77777777" w:rsidR="005A0A3F" w:rsidRDefault="005A0A3F" w:rsidP="00E96B7D">
            <w:pPr>
              <w:jc w:val="center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6D86855" wp14:editId="17277845">
                  <wp:extent cx="390492" cy="353028"/>
                  <wp:effectExtent l="0" t="0" r="0" b="9525"/>
                  <wp:docPr id="1" name="Picture 1" descr="U:\Warning Icon\Warning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arning Icon\Warning_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42"/>
                          <a:stretch/>
                        </pic:blipFill>
                        <pic:spPr bwMode="auto">
                          <a:xfrm>
                            <a:off x="0" y="0"/>
                            <a:ext cx="392762" cy="35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8" w:type="dxa"/>
            <w:tcBorders>
              <w:left w:val="nil"/>
            </w:tcBorders>
            <w:shd w:val="clear" w:color="auto" w:fill="D1D1C5" w:themeFill="background2"/>
          </w:tcPr>
          <w:p w14:paraId="479CD12B" w14:textId="77777777" w:rsidR="005A0A3F" w:rsidRDefault="005A0A3F" w:rsidP="00DE301F">
            <w:pPr>
              <w:jc w:val="center"/>
            </w:pPr>
            <w:r>
              <w:t xml:space="preserve">Si en </w:t>
            </w:r>
            <w:r w:rsidR="00DE301F">
              <w:t>algún</w:t>
            </w:r>
            <w:r>
              <w:t xml:space="preserve"> momento durante la tarea de ruptura de contención las condiciones cambi</w:t>
            </w:r>
            <w:r w:rsidR="00DE301F">
              <w:t xml:space="preserve">an de modo que no se encuentren </w:t>
            </w:r>
            <w:r>
              <w:t>dentro de las asignaciones de este certificado, DEBERÁ detenerse el trabajo y suspenderse el permiso hasta que el área sea reeva</w:t>
            </w:r>
            <w:r w:rsidR="00FA1CC1">
              <w:t>luada por el emisor del permiso</w:t>
            </w:r>
            <w:r>
              <w:t>.</w:t>
            </w:r>
            <w:r w:rsidR="00B8275D">
              <w:t xml:space="preserve"> </w:t>
            </w:r>
          </w:p>
          <w:p w14:paraId="177B641F" w14:textId="3B674382" w:rsidR="00B8275D" w:rsidRPr="000272EE" w:rsidRDefault="00B8275D" w:rsidP="00DE301F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0272EE"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  <w:t xml:space="preserve">(If at any time during the breaking of containment task, conditions change so that they are not </w:t>
            </w:r>
            <w:r w:rsidRPr="000272EE"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  <w:br/>
              <w:t xml:space="preserve">within the allowances of this certificate, the job MUST be </w:t>
            </w:r>
            <w:proofErr w:type="gramStart"/>
            <w:r w:rsidRPr="000272EE"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  <w:t>stopped</w:t>
            </w:r>
            <w:proofErr w:type="gramEnd"/>
            <w:r w:rsidRPr="000272EE"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  <w:t xml:space="preserve"> and permit suspended </w:t>
            </w:r>
            <w:r w:rsidRPr="000272EE">
              <w:rPr>
                <w:b/>
                <w:i/>
                <w:color w:val="5A7E92" w:themeColor="accent2"/>
                <w:sz w:val="16"/>
                <w:szCs w:val="16"/>
                <w:lang w:val="en-US"/>
              </w:rPr>
              <w:br/>
              <w:t>until the area is re-evaluated by the Permit Issuer.)</w:t>
            </w:r>
          </w:p>
        </w:tc>
      </w:tr>
    </w:tbl>
    <w:p w14:paraId="2A49A8AB" w14:textId="66114366" w:rsidR="0093388B" w:rsidRPr="000272EE" w:rsidRDefault="0093388B" w:rsidP="005A0A3F">
      <w:pPr>
        <w:pStyle w:val="Spacer-3pttext"/>
        <w:rPr>
          <w:lang w:val="en-US"/>
        </w:rPr>
      </w:pPr>
    </w:p>
    <w:sectPr w:rsidR="0093388B" w:rsidRPr="000272EE" w:rsidSect="00F00245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CC18" w14:textId="77777777" w:rsidR="00C50C6D" w:rsidRDefault="00C50C6D" w:rsidP="00931474">
      <w:r>
        <w:separator/>
      </w:r>
    </w:p>
    <w:p w14:paraId="0EEB6F77" w14:textId="77777777" w:rsidR="00C50C6D" w:rsidRDefault="00C50C6D" w:rsidP="00931474"/>
  </w:endnote>
  <w:endnote w:type="continuationSeparator" w:id="0">
    <w:p w14:paraId="58926586" w14:textId="77777777" w:rsidR="00C50C6D" w:rsidRDefault="00C50C6D" w:rsidP="00931474">
      <w:r>
        <w:continuationSeparator/>
      </w:r>
    </w:p>
    <w:p w14:paraId="034DB866" w14:textId="77777777" w:rsidR="00C50C6D" w:rsidRDefault="00C50C6D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270C03" w14:paraId="5600AEB3" w14:textId="77777777" w:rsidTr="00B83FBC">
      <w:tc>
        <w:tcPr>
          <w:tcW w:w="1296" w:type="dxa"/>
          <w:tcMar>
            <w:left w:w="0" w:type="dxa"/>
            <w:right w:w="0" w:type="dxa"/>
          </w:tcMar>
        </w:tcPr>
        <w:p w14:paraId="25313045" w14:textId="77777777" w:rsidR="00270C03" w:rsidRDefault="00270C03" w:rsidP="00B83FBC">
          <w:pPr>
            <w:pStyle w:val="Foo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360AF5BC" wp14:editId="46976946">
                <wp:extent cx="557405" cy="274751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405" cy="274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6B1581A8" w14:textId="628153DA" w:rsidR="00270C03" w:rsidRPr="00973E4A" w:rsidRDefault="009F3C25" w:rsidP="00B83FBC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t xml:space="preserve">Petroleum </w:t>
          </w:r>
          <w:r w:rsidR="009066E9">
            <w:t xml:space="preserve">Deepwater – Woodside Energy </w:t>
          </w:r>
          <w:r>
            <w:t>– Revisión 0</w:t>
          </w:r>
          <w:r w:rsidR="009066E9">
            <w:t>2</w:t>
          </w:r>
          <w:r>
            <w:t xml:space="preserve"> (Emisión:   0</w:t>
          </w:r>
          <w:r w:rsidR="009066E9">
            <w:t>7</w:t>
          </w:r>
          <w:r>
            <w:t>-</w:t>
          </w:r>
          <w:r w:rsidR="009066E9">
            <w:t>Oct</w:t>
          </w:r>
          <w:r>
            <w:t>-20</w:t>
          </w:r>
          <w:r w:rsidR="009066E9">
            <w:t>22</w:t>
          </w:r>
          <w:r>
            <w:t xml:space="preserve">     Válido hasta:  0</w:t>
          </w:r>
          <w:r w:rsidR="009066E9">
            <w:t>7</w:t>
          </w:r>
          <w:r>
            <w:t>-</w:t>
          </w:r>
          <w:r w:rsidR="009066E9">
            <w:t>Oct</w:t>
          </w:r>
          <w:r>
            <w:t>-20</w:t>
          </w:r>
          <w:r w:rsidR="009066E9">
            <w:t>24</w:t>
          </w:r>
          <w:r w:rsidR="0046619E">
            <w:t>)</w:t>
          </w:r>
        </w:p>
        <w:p w14:paraId="331C0BE2" w14:textId="77777777" w:rsidR="00270C03" w:rsidRPr="00973E4A" w:rsidRDefault="00270C03" w:rsidP="00B83FBC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46619E">
            <w:rPr>
              <w:sz w:val="12"/>
              <w:szCs w:val="12"/>
            </w:rPr>
            <w:t>Este documento puede incluir información de propiedad exclusiva o confidencial. Cualquier copia impresa de este documento será una copia no controlada.</w:t>
          </w:r>
          <w:r>
            <w:tab/>
            <w:t xml:space="preserve">Página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9F3C25">
            <w:rPr>
              <w:rStyle w:val="PageNumber"/>
              <w:noProof/>
              <w:szCs w:val="15"/>
            </w:rPr>
            <w:t>2</w:t>
          </w:r>
          <w:r w:rsidRPr="00973E4A">
            <w:rPr>
              <w:rStyle w:val="PageNumber"/>
              <w:szCs w:val="15"/>
            </w:rPr>
            <w:fldChar w:fldCharType="end"/>
          </w:r>
          <w:r>
            <w:rPr>
              <w:rStyle w:val="PageNumber"/>
            </w:rPr>
            <w:t xml:space="preserve"> de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9F3C25">
            <w:rPr>
              <w:rStyle w:val="PageNumber"/>
              <w:noProof/>
              <w:szCs w:val="15"/>
            </w:rPr>
            <w:t>2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733ADB72" w14:textId="77777777" w:rsidR="000B436C" w:rsidRPr="005357A9" w:rsidRDefault="000B436C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C39E" w14:textId="77777777" w:rsidR="00C50C6D" w:rsidRDefault="00C50C6D" w:rsidP="00931474">
      <w:r>
        <w:separator/>
      </w:r>
    </w:p>
    <w:p w14:paraId="6E677397" w14:textId="77777777" w:rsidR="00C50C6D" w:rsidRDefault="00C50C6D" w:rsidP="00931474"/>
  </w:footnote>
  <w:footnote w:type="continuationSeparator" w:id="0">
    <w:p w14:paraId="1A7776AF" w14:textId="77777777" w:rsidR="00C50C6D" w:rsidRDefault="00C50C6D" w:rsidP="00931474">
      <w:r>
        <w:continuationSeparator/>
      </w:r>
    </w:p>
    <w:p w14:paraId="7410E473" w14:textId="77777777" w:rsidR="00C50C6D" w:rsidRDefault="00C50C6D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0" w:type="auto"/>
      <w:tblBorders>
        <w:left w:val="single" w:sz="18" w:space="0" w:color="5A7E92" w:themeColor="accent2"/>
        <w:bottom w:val="single" w:sz="24" w:space="0" w:color="A6A6A6" w:themeColor="background1" w:themeShade="A6"/>
        <w:right w:val="single" w:sz="18" w:space="0" w:color="5A7E92" w:themeColor="accent2"/>
      </w:tblBorders>
      <w:tblLook w:val="04A0" w:firstRow="1" w:lastRow="0" w:firstColumn="1" w:lastColumn="0" w:noHBand="0" w:noVBand="1"/>
    </w:tblPr>
    <w:tblGrid>
      <w:gridCol w:w="7917"/>
      <w:gridCol w:w="2837"/>
    </w:tblGrid>
    <w:tr w:rsidR="0093388B" w:rsidRPr="0093388B" w14:paraId="7F57F003" w14:textId="77777777" w:rsidTr="003B1C80">
      <w:trPr>
        <w:trHeight w:val="460"/>
      </w:trPr>
      <w:tc>
        <w:tcPr>
          <w:tcW w:w="8118" w:type="dxa"/>
          <w:shd w:val="clear" w:color="auto" w:fill="5A7E92" w:themeFill="accent2"/>
          <w:vAlign w:val="bottom"/>
        </w:tcPr>
        <w:p w14:paraId="63632D19" w14:textId="77777777" w:rsidR="000B436C" w:rsidRDefault="00BD0864" w:rsidP="004E7212">
          <w:pPr>
            <w:pStyle w:val="DocTitleSecondary"/>
            <w:rPr>
              <w:color w:val="FFFFFF" w:themeColor="background1"/>
            </w:rPr>
          </w:pPr>
          <w:r>
            <w:rPr>
              <w:color w:val="FFFFFF" w:themeColor="background1"/>
            </w:rPr>
            <w:t>Certificado de ruptura de contención</w:t>
          </w:r>
        </w:p>
        <w:p w14:paraId="7A611B8F" w14:textId="7CB1CABF" w:rsidR="00B352B2" w:rsidRPr="00B352B2" w:rsidRDefault="00B352B2" w:rsidP="004E7212">
          <w:pPr>
            <w:pStyle w:val="DocTitleSecondary"/>
            <w:rPr>
              <w:i/>
              <w:color w:val="FFFFFF" w:themeColor="background1"/>
              <w:sz w:val="22"/>
              <w:szCs w:val="22"/>
            </w:rPr>
          </w:pPr>
          <w:r>
            <w:rPr>
              <w:i/>
              <w:color w:val="FFFFFF" w:themeColor="background1"/>
              <w:sz w:val="22"/>
              <w:szCs w:val="22"/>
            </w:rPr>
            <w:t>(Breaking of Containment Certificate)</w:t>
          </w:r>
        </w:p>
      </w:tc>
      <w:tc>
        <w:tcPr>
          <w:tcW w:w="2898" w:type="dxa"/>
          <w:shd w:val="clear" w:color="auto" w:fill="5A7E92" w:themeFill="accent2"/>
          <w:vAlign w:val="bottom"/>
        </w:tcPr>
        <w:p w14:paraId="7A6B3EDF" w14:textId="77777777" w:rsidR="000B436C" w:rsidRPr="0093388B" w:rsidRDefault="00B721DD" w:rsidP="004E7212">
          <w:pPr>
            <w:pStyle w:val="DocNumberSecondary"/>
            <w:rPr>
              <w:color w:val="FFFFFF" w:themeColor="background1"/>
            </w:rPr>
          </w:pPr>
          <w:r>
            <w:rPr>
              <w:color w:val="FFFFFF" w:themeColor="background1"/>
            </w:rPr>
            <w:t>PET-HSE27-SF-CER-00005</w:t>
          </w:r>
        </w:p>
      </w:tc>
    </w:tr>
  </w:tbl>
  <w:p w14:paraId="6B9F9ECB" w14:textId="77777777" w:rsidR="000B436C" w:rsidRPr="0093388B" w:rsidRDefault="000B436C" w:rsidP="004E7212">
    <w:pPr>
      <w:pStyle w:val="Spacer-3pttex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436A0"/>
    <w:multiLevelType w:val="hybridMultilevel"/>
    <w:tmpl w:val="ADB0DFE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A51161B"/>
    <w:multiLevelType w:val="hybridMultilevel"/>
    <w:tmpl w:val="8CC006DE"/>
    <w:lvl w:ilvl="0" w:tplc="75E44132">
      <w:start w:val="1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40A49BE"/>
    <w:multiLevelType w:val="hybridMultilevel"/>
    <w:tmpl w:val="8580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2324C"/>
    <w:multiLevelType w:val="hybridMultilevel"/>
    <w:tmpl w:val="19AC291E"/>
    <w:lvl w:ilvl="0" w:tplc="27B81E98">
      <w:start w:val="12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71F77"/>
    <w:multiLevelType w:val="hybridMultilevel"/>
    <w:tmpl w:val="890C16F0"/>
    <w:lvl w:ilvl="0" w:tplc="570CCA68">
      <w:start w:val="12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9"/>
  </w:num>
  <w:num w:numId="5">
    <w:abstractNumId w:val="16"/>
  </w:num>
  <w:num w:numId="6">
    <w:abstractNumId w:val="26"/>
  </w:num>
  <w:num w:numId="7">
    <w:abstractNumId w:val="17"/>
  </w:num>
  <w:num w:numId="8">
    <w:abstractNumId w:val="35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24"/>
  </w:num>
  <w:num w:numId="14">
    <w:abstractNumId w:val="15"/>
  </w:num>
  <w:num w:numId="15">
    <w:abstractNumId w:val="18"/>
  </w:num>
  <w:num w:numId="16">
    <w:abstractNumId w:val="23"/>
  </w:num>
  <w:num w:numId="17">
    <w:abstractNumId w:val="34"/>
  </w:num>
  <w:num w:numId="18">
    <w:abstractNumId w:val="38"/>
  </w:num>
  <w:num w:numId="19">
    <w:abstractNumId w:val="7"/>
  </w:num>
  <w:num w:numId="20">
    <w:abstractNumId w:val="36"/>
  </w:num>
  <w:num w:numId="21">
    <w:abstractNumId w:val="3"/>
  </w:num>
  <w:num w:numId="22">
    <w:abstractNumId w:val="10"/>
  </w:num>
  <w:num w:numId="23">
    <w:abstractNumId w:val="39"/>
  </w:num>
  <w:num w:numId="24">
    <w:abstractNumId w:val="25"/>
  </w:num>
  <w:num w:numId="25">
    <w:abstractNumId w:val="41"/>
  </w:num>
  <w:num w:numId="26">
    <w:abstractNumId w:val="31"/>
  </w:num>
  <w:num w:numId="27">
    <w:abstractNumId w:val="11"/>
  </w:num>
  <w:num w:numId="28">
    <w:abstractNumId w:val="33"/>
  </w:num>
  <w:num w:numId="29">
    <w:abstractNumId w:val="5"/>
  </w:num>
  <w:num w:numId="30">
    <w:abstractNumId w:val="37"/>
  </w:num>
  <w:num w:numId="31">
    <w:abstractNumId w:val="30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28"/>
  </w:num>
  <w:num w:numId="34">
    <w:abstractNumId w:val="20"/>
  </w:num>
  <w:num w:numId="35">
    <w:abstractNumId w:val="19"/>
  </w:num>
  <w:num w:numId="36">
    <w:abstractNumId w:val="40"/>
  </w:num>
  <w:num w:numId="37">
    <w:abstractNumId w:val="2"/>
  </w:num>
  <w:num w:numId="38">
    <w:abstractNumId w:val="27"/>
  </w:num>
  <w:num w:numId="39">
    <w:abstractNumId w:val="12"/>
  </w:num>
  <w:num w:numId="40">
    <w:abstractNumId w:val="14"/>
  </w:num>
  <w:num w:numId="41">
    <w:abstractNumId w:val="29"/>
  </w:num>
  <w:num w:numId="42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4K0cd/XsxguudGwq6aGD1UVG6cpA64TMSt0T3932YEoN2pUueBzzPxdMNxdWPG7JUsXjS/RXZEYKmB9XcoJFA==" w:salt="Ajkz1fjZOzTOImUFHttvZg=="/>
  <w:defaultTabStop w:val="720"/>
  <w:hyphenationZone w:val="425"/>
  <w:characterSpacingControl w:val="doNotCompress"/>
  <w:hdrShapeDefaults>
    <o:shapedefaults v:ext="edit" spidmax="4097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12113"/>
    <w:rsid w:val="00013EC8"/>
    <w:rsid w:val="00020F6C"/>
    <w:rsid w:val="000272EE"/>
    <w:rsid w:val="00031438"/>
    <w:rsid w:val="00032F74"/>
    <w:rsid w:val="00035D45"/>
    <w:rsid w:val="00036965"/>
    <w:rsid w:val="00037A36"/>
    <w:rsid w:val="00042486"/>
    <w:rsid w:val="000432E2"/>
    <w:rsid w:val="00044B61"/>
    <w:rsid w:val="000456CA"/>
    <w:rsid w:val="000509E6"/>
    <w:rsid w:val="000521AD"/>
    <w:rsid w:val="0005675D"/>
    <w:rsid w:val="000579E0"/>
    <w:rsid w:val="00062563"/>
    <w:rsid w:val="0006414B"/>
    <w:rsid w:val="000662CC"/>
    <w:rsid w:val="00072160"/>
    <w:rsid w:val="0007257C"/>
    <w:rsid w:val="0007324F"/>
    <w:rsid w:val="00080285"/>
    <w:rsid w:val="00080411"/>
    <w:rsid w:val="00081F9C"/>
    <w:rsid w:val="00083F05"/>
    <w:rsid w:val="0008461F"/>
    <w:rsid w:val="00085473"/>
    <w:rsid w:val="000857A0"/>
    <w:rsid w:val="00085ABA"/>
    <w:rsid w:val="00090159"/>
    <w:rsid w:val="00091078"/>
    <w:rsid w:val="00093349"/>
    <w:rsid w:val="00095094"/>
    <w:rsid w:val="0009603D"/>
    <w:rsid w:val="00096C7D"/>
    <w:rsid w:val="000A0B3A"/>
    <w:rsid w:val="000A1721"/>
    <w:rsid w:val="000A1911"/>
    <w:rsid w:val="000A2D31"/>
    <w:rsid w:val="000B2FED"/>
    <w:rsid w:val="000B436C"/>
    <w:rsid w:val="000B439B"/>
    <w:rsid w:val="000B45D1"/>
    <w:rsid w:val="000C154E"/>
    <w:rsid w:val="000C1F9A"/>
    <w:rsid w:val="000C475F"/>
    <w:rsid w:val="000D0A19"/>
    <w:rsid w:val="000D1D1E"/>
    <w:rsid w:val="000D4EBA"/>
    <w:rsid w:val="000D5F5B"/>
    <w:rsid w:val="000D7FFE"/>
    <w:rsid w:val="000E1339"/>
    <w:rsid w:val="000E39B9"/>
    <w:rsid w:val="000E6173"/>
    <w:rsid w:val="000F3ABE"/>
    <w:rsid w:val="000F5714"/>
    <w:rsid w:val="00105AD2"/>
    <w:rsid w:val="00107367"/>
    <w:rsid w:val="00110639"/>
    <w:rsid w:val="0011573B"/>
    <w:rsid w:val="00121AB9"/>
    <w:rsid w:val="00125C5C"/>
    <w:rsid w:val="001361FB"/>
    <w:rsid w:val="00140FAC"/>
    <w:rsid w:val="00142FF9"/>
    <w:rsid w:val="00146420"/>
    <w:rsid w:val="00146E2F"/>
    <w:rsid w:val="00150876"/>
    <w:rsid w:val="00154000"/>
    <w:rsid w:val="001551DA"/>
    <w:rsid w:val="001700D8"/>
    <w:rsid w:val="0017027C"/>
    <w:rsid w:val="00173046"/>
    <w:rsid w:val="001746E9"/>
    <w:rsid w:val="0017518E"/>
    <w:rsid w:val="00176132"/>
    <w:rsid w:val="00181488"/>
    <w:rsid w:val="00183ADE"/>
    <w:rsid w:val="001850DA"/>
    <w:rsid w:val="00191C53"/>
    <w:rsid w:val="00191F71"/>
    <w:rsid w:val="00193983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36EB"/>
    <w:rsid w:val="001C10C7"/>
    <w:rsid w:val="001C2922"/>
    <w:rsid w:val="001C473D"/>
    <w:rsid w:val="001C4C0E"/>
    <w:rsid w:val="001D2438"/>
    <w:rsid w:val="001D53D5"/>
    <w:rsid w:val="001E0413"/>
    <w:rsid w:val="001E0F47"/>
    <w:rsid w:val="001E2B17"/>
    <w:rsid w:val="001E2E1E"/>
    <w:rsid w:val="001E4695"/>
    <w:rsid w:val="001E4796"/>
    <w:rsid w:val="001E48EB"/>
    <w:rsid w:val="001E5275"/>
    <w:rsid w:val="001E5775"/>
    <w:rsid w:val="001F10A5"/>
    <w:rsid w:val="001F1EC4"/>
    <w:rsid w:val="001F2AB6"/>
    <w:rsid w:val="001F38DC"/>
    <w:rsid w:val="001F4D64"/>
    <w:rsid w:val="00200CBC"/>
    <w:rsid w:val="0020375D"/>
    <w:rsid w:val="00216F8B"/>
    <w:rsid w:val="002213A6"/>
    <w:rsid w:val="00223296"/>
    <w:rsid w:val="00227AC9"/>
    <w:rsid w:val="00227E62"/>
    <w:rsid w:val="00231EA3"/>
    <w:rsid w:val="0023282B"/>
    <w:rsid w:val="00237262"/>
    <w:rsid w:val="002417BE"/>
    <w:rsid w:val="002417F2"/>
    <w:rsid w:val="00243271"/>
    <w:rsid w:val="0024598D"/>
    <w:rsid w:val="00247811"/>
    <w:rsid w:val="00250B18"/>
    <w:rsid w:val="00253866"/>
    <w:rsid w:val="002550FD"/>
    <w:rsid w:val="00255EBA"/>
    <w:rsid w:val="00260E12"/>
    <w:rsid w:val="00266415"/>
    <w:rsid w:val="00270C03"/>
    <w:rsid w:val="002733BA"/>
    <w:rsid w:val="00283C4A"/>
    <w:rsid w:val="00284E3B"/>
    <w:rsid w:val="0028621A"/>
    <w:rsid w:val="00290975"/>
    <w:rsid w:val="002918A1"/>
    <w:rsid w:val="002934EA"/>
    <w:rsid w:val="002938B6"/>
    <w:rsid w:val="00295DA8"/>
    <w:rsid w:val="002A4FA1"/>
    <w:rsid w:val="002A5B0F"/>
    <w:rsid w:val="002A7FA8"/>
    <w:rsid w:val="002B1F92"/>
    <w:rsid w:val="002B3D03"/>
    <w:rsid w:val="002B5E93"/>
    <w:rsid w:val="002C2C0B"/>
    <w:rsid w:val="002C4233"/>
    <w:rsid w:val="002D1C60"/>
    <w:rsid w:val="002E091F"/>
    <w:rsid w:val="002E17AD"/>
    <w:rsid w:val="002E1AE8"/>
    <w:rsid w:val="002E69A6"/>
    <w:rsid w:val="002F1337"/>
    <w:rsid w:val="002F53D4"/>
    <w:rsid w:val="00306E19"/>
    <w:rsid w:val="00306E80"/>
    <w:rsid w:val="00307276"/>
    <w:rsid w:val="003133BC"/>
    <w:rsid w:val="0031490B"/>
    <w:rsid w:val="00314D4A"/>
    <w:rsid w:val="00315AAA"/>
    <w:rsid w:val="00340B30"/>
    <w:rsid w:val="00341020"/>
    <w:rsid w:val="00346BB4"/>
    <w:rsid w:val="0035065A"/>
    <w:rsid w:val="00351881"/>
    <w:rsid w:val="00355C98"/>
    <w:rsid w:val="003564F1"/>
    <w:rsid w:val="00362C5E"/>
    <w:rsid w:val="00364874"/>
    <w:rsid w:val="0037408A"/>
    <w:rsid w:val="00382B35"/>
    <w:rsid w:val="0039207A"/>
    <w:rsid w:val="00392F22"/>
    <w:rsid w:val="0039397E"/>
    <w:rsid w:val="00393CF3"/>
    <w:rsid w:val="0039528C"/>
    <w:rsid w:val="00395E4D"/>
    <w:rsid w:val="00397CB2"/>
    <w:rsid w:val="003A2B51"/>
    <w:rsid w:val="003A5F1D"/>
    <w:rsid w:val="003A76C3"/>
    <w:rsid w:val="003B1C80"/>
    <w:rsid w:val="003B2A17"/>
    <w:rsid w:val="003B59F9"/>
    <w:rsid w:val="003B74A4"/>
    <w:rsid w:val="003C212A"/>
    <w:rsid w:val="003C47FB"/>
    <w:rsid w:val="003C5CD9"/>
    <w:rsid w:val="003D10C6"/>
    <w:rsid w:val="003E3C21"/>
    <w:rsid w:val="003E3F56"/>
    <w:rsid w:val="003E66EF"/>
    <w:rsid w:val="003E6CCD"/>
    <w:rsid w:val="003E7049"/>
    <w:rsid w:val="003F15C1"/>
    <w:rsid w:val="003F1E38"/>
    <w:rsid w:val="003F20C3"/>
    <w:rsid w:val="003F4390"/>
    <w:rsid w:val="003F4BB1"/>
    <w:rsid w:val="00403C1E"/>
    <w:rsid w:val="00404064"/>
    <w:rsid w:val="00407365"/>
    <w:rsid w:val="004076D4"/>
    <w:rsid w:val="00416F9A"/>
    <w:rsid w:val="004170BD"/>
    <w:rsid w:val="00423CCA"/>
    <w:rsid w:val="004318E2"/>
    <w:rsid w:val="00434E15"/>
    <w:rsid w:val="0043671D"/>
    <w:rsid w:val="00437D20"/>
    <w:rsid w:val="00442EF1"/>
    <w:rsid w:val="00445349"/>
    <w:rsid w:val="0044757F"/>
    <w:rsid w:val="00453D6C"/>
    <w:rsid w:val="004557DE"/>
    <w:rsid w:val="0045723C"/>
    <w:rsid w:val="004649C9"/>
    <w:rsid w:val="004649EE"/>
    <w:rsid w:val="0046619E"/>
    <w:rsid w:val="004723B5"/>
    <w:rsid w:val="00481360"/>
    <w:rsid w:val="00485DFD"/>
    <w:rsid w:val="004911B5"/>
    <w:rsid w:val="00491BDA"/>
    <w:rsid w:val="004926F2"/>
    <w:rsid w:val="00496159"/>
    <w:rsid w:val="004A0CCD"/>
    <w:rsid w:val="004A1EDF"/>
    <w:rsid w:val="004A522F"/>
    <w:rsid w:val="004A540D"/>
    <w:rsid w:val="004A699D"/>
    <w:rsid w:val="004A712A"/>
    <w:rsid w:val="004B1021"/>
    <w:rsid w:val="004B2E96"/>
    <w:rsid w:val="004B3666"/>
    <w:rsid w:val="004B4F65"/>
    <w:rsid w:val="004C2057"/>
    <w:rsid w:val="004C3039"/>
    <w:rsid w:val="004C4E75"/>
    <w:rsid w:val="004D0AE3"/>
    <w:rsid w:val="004D0F59"/>
    <w:rsid w:val="004D30B9"/>
    <w:rsid w:val="004D71F6"/>
    <w:rsid w:val="004E2B5C"/>
    <w:rsid w:val="004E5E6F"/>
    <w:rsid w:val="004E7212"/>
    <w:rsid w:val="004F0CCA"/>
    <w:rsid w:val="00502208"/>
    <w:rsid w:val="0050252A"/>
    <w:rsid w:val="00502926"/>
    <w:rsid w:val="005029BE"/>
    <w:rsid w:val="00515E02"/>
    <w:rsid w:val="0052047B"/>
    <w:rsid w:val="00522B03"/>
    <w:rsid w:val="00524271"/>
    <w:rsid w:val="00525B30"/>
    <w:rsid w:val="0052758E"/>
    <w:rsid w:val="00534C86"/>
    <w:rsid w:val="005357A9"/>
    <w:rsid w:val="00541461"/>
    <w:rsid w:val="0054433F"/>
    <w:rsid w:val="00550374"/>
    <w:rsid w:val="0055366A"/>
    <w:rsid w:val="0055411A"/>
    <w:rsid w:val="005606A6"/>
    <w:rsid w:val="005613F8"/>
    <w:rsid w:val="005621C3"/>
    <w:rsid w:val="0056291B"/>
    <w:rsid w:val="005635C8"/>
    <w:rsid w:val="005652BB"/>
    <w:rsid w:val="00567D41"/>
    <w:rsid w:val="00574835"/>
    <w:rsid w:val="005853B8"/>
    <w:rsid w:val="0059134A"/>
    <w:rsid w:val="00593A82"/>
    <w:rsid w:val="005A0A3F"/>
    <w:rsid w:val="005A11B7"/>
    <w:rsid w:val="005A3D72"/>
    <w:rsid w:val="005A5AE0"/>
    <w:rsid w:val="005A6CB9"/>
    <w:rsid w:val="005B6FAC"/>
    <w:rsid w:val="005C0921"/>
    <w:rsid w:val="005C10B2"/>
    <w:rsid w:val="005C57ED"/>
    <w:rsid w:val="005C6445"/>
    <w:rsid w:val="005C785A"/>
    <w:rsid w:val="005D33C0"/>
    <w:rsid w:val="005D3C64"/>
    <w:rsid w:val="005D3E6A"/>
    <w:rsid w:val="005D4011"/>
    <w:rsid w:val="005D6CFC"/>
    <w:rsid w:val="005E3DCB"/>
    <w:rsid w:val="005F150F"/>
    <w:rsid w:val="005F712E"/>
    <w:rsid w:val="00611ED3"/>
    <w:rsid w:val="00615369"/>
    <w:rsid w:val="00620A03"/>
    <w:rsid w:val="006217B2"/>
    <w:rsid w:val="00622304"/>
    <w:rsid w:val="00623DD5"/>
    <w:rsid w:val="00627064"/>
    <w:rsid w:val="00630CC4"/>
    <w:rsid w:val="00634541"/>
    <w:rsid w:val="0064249F"/>
    <w:rsid w:val="0064443A"/>
    <w:rsid w:val="006467F0"/>
    <w:rsid w:val="00663B54"/>
    <w:rsid w:val="00667267"/>
    <w:rsid w:val="006714CB"/>
    <w:rsid w:val="00672174"/>
    <w:rsid w:val="00674A41"/>
    <w:rsid w:val="00675D28"/>
    <w:rsid w:val="00677DA6"/>
    <w:rsid w:val="00681081"/>
    <w:rsid w:val="0068225C"/>
    <w:rsid w:val="00682E19"/>
    <w:rsid w:val="00683646"/>
    <w:rsid w:val="00684915"/>
    <w:rsid w:val="00684DD0"/>
    <w:rsid w:val="00687BE3"/>
    <w:rsid w:val="00690E9D"/>
    <w:rsid w:val="006920C8"/>
    <w:rsid w:val="006948CC"/>
    <w:rsid w:val="00694D65"/>
    <w:rsid w:val="006951B8"/>
    <w:rsid w:val="006A0923"/>
    <w:rsid w:val="006A0A16"/>
    <w:rsid w:val="006A3033"/>
    <w:rsid w:val="006B25C7"/>
    <w:rsid w:val="006B311D"/>
    <w:rsid w:val="006C3541"/>
    <w:rsid w:val="006C4FB7"/>
    <w:rsid w:val="006C5EBA"/>
    <w:rsid w:val="006D10E2"/>
    <w:rsid w:val="006D4C27"/>
    <w:rsid w:val="006D4FB9"/>
    <w:rsid w:val="006D6FF7"/>
    <w:rsid w:val="006D70C0"/>
    <w:rsid w:val="006E038B"/>
    <w:rsid w:val="006E086D"/>
    <w:rsid w:val="006F76BE"/>
    <w:rsid w:val="00706179"/>
    <w:rsid w:val="00707D65"/>
    <w:rsid w:val="00710200"/>
    <w:rsid w:val="0071053D"/>
    <w:rsid w:val="00712FF9"/>
    <w:rsid w:val="00716463"/>
    <w:rsid w:val="00720F6F"/>
    <w:rsid w:val="00736435"/>
    <w:rsid w:val="0074130D"/>
    <w:rsid w:val="00747A82"/>
    <w:rsid w:val="00763613"/>
    <w:rsid w:val="00763A55"/>
    <w:rsid w:val="00771985"/>
    <w:rsid w:val="007742C5"/>
    <w:rsid w:val="00783FCD"/>
    <w:rsid w:val="00786391"/>
    <w:rsid w:val="007868D3"/>
    <w:rsid w:val="007871F2"/>
    <w:rsid w:val="00795EA2"/>
    <w:rsid w:val="007A0FD2"/>
    <w:rsid w:val="007A1952"/>
    <w:rsid w:val="007B213E"/>
    <w:rsid w:val="007B2798"/>
    <w:rsid w:val="007B2899"/>
    <w:rsid w:val="007B2A9E"/>
    <w:rsid w:val="007B55B2"/>
    <w:rsid w:val="007B68FB"/>
    <w:rsid w:val="007B7C95"/>
    <w:rsid w:val="007C0EDF"/>
    <w:rsid w:val="007C1F61"/>
    <w:rsid w:val="007C3D09"/>
    <w:rsid w:val="007C5AE2"/>
    <w:rsid w:val="007C68FB"/>
    <w:rsid w:val="007C7F7D"/>
    <w:rsid w:val="007D00AF"/>
    <w:rsid w:val="007D1A4F"/>
    <w:rsid w:val="007E117D"/>
    <w:rsid w:val="007E2E29"/>
    <w:rsid w:val="007E30D6"/>
    <w:rsid w:val="007E3F42"/>
    <w:rsid w:val="007E6526"/>
    <w:rsid w:val="007E797E"/>
    <w:rsid w:val="007F17D4"/>
    <w:rsid w:val="007F53AB"/>
    <w:rsid w:val="007F69C7"/>
    <w:rsid w:val="00803125"/>
    <w:rsid w:val="00804A3B"/>
    <w:rsid w:val="00804DE6"/>
    <w:rsid w:val="00814922"/>
    <w:rsid w:val="00814A3B"/>
    <w:rsid w:val="00814E27"/>
    <w:rsid w:val="008159E7"/>
    <w:rsid w:val="008171A6"/>
    <w:rsid w:val="00833E2C"/>
    <w:rsid w:val="008341A3"/>
    <w:rsid w:val="00836CDA"/>
    <w:rsid w:val="00846A85"/>
    <w:rsid w:val="00850A4E"/>
    <w:rsid w:val="008529B5"/>
    <w:rsid w:val="00856AB1"/>
    <w:rsid w:val="0085770E"/>
    <w:rsid w:val="00861AC7"/>
    <w:rsid w:val="00862ED9"/>
    <w:rsid w:val="00870377"/>
    <w:rsid w:val="00870B72"/>
    <w:rsid w:val="008710FE"/>
    <w:rsid w:val="00873A0C"/>
    <w:rsid w:val="00877312"/>
    <w:rsid w:val="00886248"/>
    <w:rsid w:val="0088735C"/>
    <w:rsid w:val="0089134E"/>
    <w:rsid w:val="0089314D"/>
    <w:rsid w:val="00896349"/>
    <w:rsid w:val="00896EAE"/>
    <w:rsid w:val="008A2CEE"/>
    <w:rsid w:val="008A3353"/>
    <w:rsid w:val="008A45DC"/>
    <w:rsid w:val="008A652A"/>
    <w:rsid w:val="008A7F65"/>
    <w:rsid w:val="008C1114"/>
    <w:rsid w:val="008C436B"/>
    <w:rsid w:val="008C4D04"/>
    <w:rsid w:val="008C7A70"/>
    <w:rsid w:val="008D0045"/>
    <w:rsid w:val="008D6C30"/>
    <w:rsid w:val="008E4ACB"/>
    <w:rsid w:val="008E4D7B"/>
    <w:rsid w:val="008E6FD9"/>
    <w:rsid w:val="009066E9"/>
    <w:rsid w:val="00912A95"/>
    <w:rsid w:val="009146D1"/>
    <w:rsid w:val="00927BA1"/>
    <w:rsid w:val="00931474"/>
    <w:rsid w:val="0093164C"/>
    <w:rsid w:val="00931C96"/>
    <w:rsid w:val="0093388B"/>
    <w:rsid w:val="00934498"/>
    <w:rsid w:val="009356B6"/>
    <w:rsid w:val="00940141"/>
    <w:rsid w:val="00940EE5"/>
    <w:rsid w:val="0094386C"/>
    <w:rsid w:val="00951215"/>
    <w:rsid w:val="00964D6A"/>
    <w:rsid w:val="00966BBF"/>
    <w:rsid w:val="00967674"/>
    <w:rsid w:val="0096773C"/>
    <w:rsid w:val="00970510"/>
    <w:rsid w:val="00976A15"/>
    <w:rsid w:val="00983F84"/>
    <w:rsid w:val="00986321"/>
    <w:rsid w:val="00990177"/>
    <w:rsid w:val="00990C8D"/>
    <w:rsid w:val="00994E89"/>
    <w:rsid w:val="00995E1E"/>
    <w:rsid w:val="00996E52"/>
    <w:rsid w:val="00997A6F"/>
    <w:rsid w:val="009A2014"/>
    <w:rsid w:val="009A6D56"/>
    <w:rsid w:val="009B0E4F"/>
    <w:rsid w:val="009B1AED"/>
    <w:rsid w:val="009B2790"/>
    <w:rsid w:val="009B361A"/>
    <w:rsid w:val="009B5B89"/>
    <w:rsid w:val="009B66A0"/>
    <w:rsid w:val="009B679C"/>
    <w:rsid w:val="009C1339"/>
    <w:rsid w:val="009C1A8D"/>
    <w:rsid w:val="009C2F86"/>
    <w:rsid w:val="009C515E"/>
    <w:rsid w:val="009C55A6"/>
    <w:rsid w:val="009D779C"/>
    <w:rsid w:val="009D78D4"/>
    <w:rsid w:val="009E4E23"/>
    <w:rsid w:val="009E6DF8"/>
    <w:rsid w:val="009E7D63"/>
    <w:rsid w:val="009F012B"/>
    <w:rsid w:val="009F28AE"/>
    <w:rsid w:val="009F2C0B"/>
    <w:rsid w:val="009F3C25"/>
    <w:rsid w:val="009F5AA2"/>
    <w:rsid w:val="00A01D39"/>
    <w:rsid w:val="00A036BF"/>
    <w:rsid w:val="00A03AAD"/>
    <w:rsid w:val="00A0621A"/>
    <w:rsid w:val="00A075A5"/>
    <w:rsid w:val="00A10E05"/>
    <w:rsid w:val="00A1309C"/>
    <w:rsid w:val="00A15DD6"/>
    <w:rsid w:val="00A169A0"/>
    <w:rsid w:val="00A31EBB"/>
    <w:rsid w:val="00A328C9"/>
    <w:rsid w:val="00A351D2"/>
    <w:rsid w:val="00A36FC5"/>
    <w:rsid w:val="00A42F15"/>
    <w:rsid w:val="00A442AD"/>
    <w:rsid w:val="00A4635F"/>
    <w:rsid w:val="00A478F5"/>
    <w:rsid w:val="00A520AC"/>
    <w:rsid w:val="00A52770"/>
    <w:rsid w:val="00A5463E"/>
    <w:rsid w:val="00A5493D"/>
    <w:rsid w:val="00A6115B"/>
    <w:rsid w:val="00A617CE"/>
    <w:rsid w:val="00A63AD3"/>
    <w:rsid w:val="00A63C73"/>
    <w:rsid w:val="00A65C59"/>
    <w:rsid w:val="00A67940"/>
    <w:rsid w:val="00A70445"/>
    <w:rsid w:val="00A744FC"/>
    <w:rsid w:val="00A75AB9"/>
    <w:rsid w:val="00A766BA"/>
    <w:rsid w:val="00A77944"/>
    <w:rsid w:val="00A77F96"/>
    <w:rsid w:val="00A8042B"/>
    <w:rsid w:val="00A874E8"/>
    <w:rsid w:val="00A90DFC"/>
    <w:rsid w:val="00A919AB"/>
    <w:rsid w:val="00A96015"/>
    <w:rsid w:val="00A971EC"/>
    <w:rsid w:val="00AA1ABC"/>
    <w:rsid w:val="00AA3AF4"/>
    <w:rsid w:val="00AB0398"/>
    <w:rsid w:val="00AB2095"/>
    <w:rsid w:val="00AB34C4"/>
    <w:rsid w:val="00AC3BEE"/>
    <w:rsid w:val="00AC3E60"/>
    <w:rsid w:val="00AD50EE"/>
    <w:rsid w:val="00AD5A6F"/>
    <w:rsid w:val="00AD5EE9"/>
    <w:rsid w:val="00AD6169"/>
    <w:rsid w:val="00AE118E"/>
    <w:rsid w:val="00AE2311"/>
    <w:rsid w:val="00AF0D88"/>
    <w:rsid w:val="00AF15EC"/>
    <w:rsid w:val="00AF1867"/>
    <w:rsid w:val="00AF68E6"/>
    <w:rsid w:val="00B05500"/>
    <w:rsid w:val="00B07525"/>
    <w:rsid w:val="00B1003B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25AA4"/>
    <w:rsid w:val="00B3048F"/>
    <w:rsid w:val="00B32D37"/>
    <w:rsid w:val="00B352B2"/>
    <w:rsid w:val="00B37932"/>
    <w:rsid w:val="00B422EF"/>
    <w:rsid w:val="00B50A92"/>
    <w:rsid w:val="00B513BE"/>
    <w:rsid w:val="00B55AF9"/>
    <w:rsid w:val="00B56EE6"/>
    <w:rsid w:val="00B62912"/>
    <w:rsid w:val="00B63C63"/>
    <w:rsid w:val="00B63EED"/>
    <w:rsid w:val="00B710D3"/>
    <w:rsid w:val="00B721DD"/>
    <w:rsid w:val="00B75815"/>
    <w:rsid w:val="00B820D9"/>
    <w:rsid w:val="00B8275D"/>
    <w:rsid w:val="00B82C04"/>
    <w:rsid w:val="00B848AC"/>
    <w:rsid w:val="00B95700"/>
    <w:rsid w:val="00B95D5A"/>
    <w:rsid w:val="00B96493"/>
    <w:rsid w:val="00B9796E"/>
    <w:rsid w:val="00BA5F8A"/>
    <w:rsid w:val="00BB1225"/>
    <w:rsid w:val="00BB25D6"/>
    <w:rsid w:val="00BB41D8"/>
    <w:rsid w:val="00BB4FD3"/>
    <w:rsid w:val="00BC2597"/>
    <w:rsid w:val="00BC7D7A"/>
    <w:rsid w:val="00BD0864"/>
    <w:rsid w:val="00BE661B"/>
    <w:rsid w:val="00BE66F4"/>
    <w:rsid w:val="00C0318C"/>
    <w:rsid w:val="00C106BA"/>
    <w:rsid w:val="00C148DD"/>
    <w:rsid w:val="00C219E2"/>
    <w:rsid w:val="00C24C77"/>
    <w:rsid w:val="00C25151"/>
    <w:rsid w:val="00C25D69"/>
    <w:rsid w:val="00C27A01"/>
    <w:rsid w:val="00C33C37"/>
    <w:rsid w:val="00C3571B"/>
    <w:rsid w:val="00C35ECA"/>
    <w:rsid w:val="00C405B3"/>
    <w:rsid w:val="00C4120C"/>
    <w:rsid w:val="00C45592"/>
    <w:rsid w:val="00C45D70"/>
    <w:rsid w:val="00C460AD"/>
    <w:rsid w:val="00C4734D"/>
    <w:rsid w:val="00C50C6D"/>
    <w:rsid w:val="00C5170D"/>
    <w:rsid w:val="00C60FC1"/>
    <w:rsid w:val="00C62E16"/>
    <w:rsid w:val="00C71CD0"/>
    <w:rsid w:val="00C75B8F"/>
    <w:rsid w:val="00C774DE"/>
    <w:rsid w:val="00C776E2"/>
    <w:rsid w:val="00C77B7B"/>
    <w:rsid w:val="00C81482"/>
    <w:rsid w:val="00C82331"/>
    <w:rsid w:val="00C82751"/>
    <w:rsid w:val="00C842A3"/>
    <w:rsid w:val="00C84A94"/>
    <w:rsid w:val="00C9015C"/>
    <w:rsid w:val="00C9184A"/>
    <w:rsid w:val="00C9548D"/>
    <w:rsid w:val="00C959D2"/>
    <w:rsid w:val="00CA1999"/>
    <w:rsid w:val="00CB17AA"/>
    <w:rsid w:val="00CB25F0"/>
    <w:rsid w:val="00CB4200"/>
    <w:rsid w:val="00CC2548"/>
    <w:rsid w:val="00CD03AE"/>
    <w:rsid w:val="00CD1745"/>
    <w:rsid w:val="00CE348D"/>
    <w:rsid w:val="00CF1B88"/>
    <w:rsid w:val="00CF38C1"/>
    <w:rsid w:val="00CF39AF"/>
    <w:rsid w:val="00CF4483"/>
    <w:rsid w:val="00CF50F6"/>
    <w:rsid w:val="00CF5D41"/>
    <w:rsid w:val="00CF6B3E"/>
    <w:rsid w:val="00CF6EBF"/>
    <w:rsid w:val="00D0051B"/>
    <w:rsid w:val="00D142DC"/>
    <w:rsid w:val="00D169C2"/>
    <w:rsid w:val="00D40919"/>
    <w:rsid w:val="00D41DF4"/>
    <w:rsid w:val="00D43F30"/>
    <w:rsid w:val="00D4782C"/>
    <w:rsid w:val="00D5023D"/>
    <w:rsid w:val="00D503A6"/>
    <w:rsid w:val="00D5511B"/>
    <w:rsid w:val="00D60236"/>
    <w:rsid w:val="00D6197C"/>
    <w:rsid w:val="00D62D3A"/>
    <w:rsid w:val="00D63476"/>
    <w:rsid w:val="00D634AE"/>
    <w:rsid w:val="00D641D5"/>
    <w:rsid w:val="00D652D4"/>
    <w:rsid w:val="00D65415"/>
    <w:rsid w:val="00D70CE7"/>
    <w:rsid w:val="00D71518"/>
    <w:rsid w:val="00D71FCD"/>
    <w:rsid w:val="00D7527C"/>
    <w:rsid w:val="00D827BB"/>
    <w:rsid w:val="00D82FBD"/>
    <w:rsid w:val="00D915DD"/>
    <w:rsid w:val="00D92CCF"/>
    <w:rsid w:val="00D972C8"/>
    <w:rsid w:val="00DA02AA"/>
    <w:rsid w:val="00DA1F23"/>
    <w:rsid w:val="00DA393D"/>
    <w:rsid w:val="00DB0BAA"/>
    <w:rsid w:val="00DB0BD0"/>
    <w:rsid w:val="00DB2CCD"/>
    <w:rsid w:val="00DC0642"/>
    <w:rsid w:val="00DC353B"/>
    <w:rsid w:val="00DD1AD9"/>
    <w:rsid w:val="00DD5954"/>
    <w:rsid w:val="00DD5DBA"/>
    <w:rsid w:val="00DD7CF5"/>
    <w:rsid w:val="00DE301F"/>
    <w:rsid w:val="00DE34A0"/>
    <w:rsid w:val="00DF26FA"/>
    <w:rsid w:val="00DF43CF"/>
    <w:rsid w:val="00DF5128"/>
    <w:rsid w:val="00DF582F"/>
    <w:rsid w:val="00DF5FDD"/>
    <w:rsid w:val="00DF6342"/>
    <w:rsid w:val="00E04110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B6A"/>
    <w:rsid w:val="00E32803"/>
    <w:rsid w:val="00E33D34"/>
    <w:rsid w:val="00E35BED"/>
    <w:rsid w:val="00E4224C"/>
    <w:rsid w:val="00E438B1"/>
    <w:rsid w:val="00E44063"/>
    <w:rsid w:val="00E50BDC"/>
    <w:rsid w:val="00E52D09"/>
    <w:rsid w:val="00E66156"/>
    <w:rsid w:val="00E723AA"/>
    <w:rsid w:val="00E72BFB"/>
    <w:rsid w:val="00E760AD"/>
    <w:rsid w:val="00E80705"/>
    <w:rsid w:val="00E8237D"/>
    <w:rsid w:val="00E84A8E"/>
    <w:rsid w:val="00E86BBF"/>
    <w:rsid w:val="00E9032D"/>
    <w:rsid w:val="00E9045F"/>
    <w:rsid w:val="00E965D7"/>
    <w:rsid w:val="00E96DA0"/>
    <w:rsid w:val="00EA35FF"/>
    <w:rsid w:val="00EA4E2F"/>
    <w:rsid w:val="00EA51EA"/>
    <w:rsid w:val="00EA5F44"/>
    <w:rsid w:val="00EB25B9"/>
    <w:rsid w:val="00EB3190"/>
    <w:rsid w:val="00EB683A"/>
    <w:rsid w:val="00EC02A2"/>
    <w:rsid w:val="00EC4EF0"/>
    <w:rsid w:val="00EC5318"/>
    <w:rsid w:val="00EC5A04"/>
    <w:rsid w:val="00EC6F2D"/>
    <w:rsid w:val="00EC7B7F"/>
    <w:rsid w:val="00ED2F34"/>
    <w:rsid w:val="00ED3AAF"/>
    <w:rsid w:val="00ED670D"/>
    <w:rsid w:val="00EE5BA1"/>
    <w:rsid w:val="00EF51FE"/>
    <w:rsid w:val="00EF58C9"/>
    <w:rsid w:val="00F00245"/>
    <w:rsid w:val="00F00846"/>
    <w:rsid w:val="00F020D0"/>
    <w:rsid w:val="00F02E86"/>
    <w:rsid w:val="00F04146"/>
    <w:rsid w:val="00F04847"/>
    <w:rsid w:val="00F11E45"/>
    <w:rsid w:val="00F23DC5"/>
    <w:rsid w:val="00F3193E"/>
    <w:rsid w:val="00F43445"/>
    <w:rsid w:val="00F44E5F"/>
    <w:rsid w:val="00F501F3"/>
    <w:rsid w:val="00F50E58"/>
    <w:rsid w:val="00F54B14"/>
    <w:rsid w:val="00F564DC"/>
    <w:rsid w:val="00F61459"/>
    <w:rsid w:val="00F678BB"/>
    <w:rsid w:val="00F73827"/>
    <w:rsid w:val="00F73B71"/>
    <w:rsid w:val="00F76FF6"/>
    <w:rsid w:val="00F81110"/>
    <w:rsid w:val="00F834C6"/>
    <w:rsid w:val="00F8624B"/>
    <w:rsid w:val="00F90FFF"/>
    <w:rsid w:val="00F9790A"/>
    <w:rsid w:val="00FA1CC1"/>
    <w:rsid w:val="00FA2507"/>
    <w:rsid w:val="00FA3703"/>
    <w:rsid w:val="00FA388F"/>
    <w:rsid w:val="00FA7B1A"/>
    <w:rsid w:val="00FB78F4"/>
    <w:rsid w:val="00FB7D51"/>
    <w:rsid w:val="00FC0604"/>
    <w:rsid w:val="00FC5B15"/>
    <w:rsid w:val="00FC61C1"/>
    <w:rsid w:val="00FD2A63"/>
    <w:rsid w:val="00FD4196"/>
    <w:rsid w:val="00FD5058"/>
    <w:rsid w:val="00FE0AF3"/>
    <w:rsid w:val="00FF3CB6"/>
    <w:rsid w:val="00FF4419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77D81800"/>
  <w15:docId w15:val="{04E6F7DF-4276-4FFE-8832-F54D459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MX" w:eastAsia="es-MX" w:bidi="es-MX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74"/>
    <w:rPr>
      <w:rFonts w:ascii="Arial" w:hAnsi="Arial"/>
      <w:szCs w:val="24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es-MX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es-MX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es-MX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 w:val="24"/>
      <w:szCs w:val="26"/>
      <w:lang w:eastAsia="es-MX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eastAsia="es-MX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eastAsia="es-MX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eastAsia="es-MX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eastAsia="es-MX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eastAsia="es-MX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eastAsia="es-MX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es-MX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es-MX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es-MX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es-MX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es-MX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es-MX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s-MX" w:eastAsia="es-MX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s-MX" w:eastAsia="es-MX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es-MX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es-MX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es-MX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s-MX" w:eastAsia="es-MX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s-MX" w:eastAsia="es-MX"/>
    </w:rPr>
  </w:style>
  <w:style w:type="paragraph" w:customStyle="1" w:styleId="FooterTextGray">
    <w:name w:val="FooterTextGray"/>
    <w:basedOn w:val="Footer"/>
    <w:link w:val="FooterTextGrayChar"/>
    <w:qFormat/>
    <w:rsid w:val="004B2E96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4B2E96"/>
    <w:rPr>
      <w:rFonts w:ascii="Arial" w:hAnsi="Arial"/>
      <w:color w:val="808080" w:themeColor="background1" w:themeShade="80"/>
      <w:sz w:val="15"/>
      <w:szCs w:val="24"/>
      <w:lang w:val="es-MX" w:eastAsia="es-MX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es-MX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es-MX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</w:rPr>
  </w:style>
  <w:style w:type="paragraph" w:customStyle="1" w:styleId="Spacer-8pttext">
    <w:name w:val="Spacer - 8pt text"/>
    <w:basedOn w:val="Example"/>
    <w:qFormat/>
    <w:rsid w:val="004E2B5C"/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</w:rPr>
  </w:style>
  <w:style w:type="paragraph" w:customStyle="1" w:styleId="BHPBBullet-Level1">
    <w:name w:val="BHPB Bullet - Level 1"/>
    <w:basedOn w:val="Normal"/>
    <w:rsid w:val="00B721D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XJ754XQMX5V4-487745197-1596</_dlc_DocId>
    <_dlc_DocIdUrl xmlns="ea5868dd-e74c-4f16-9a51-d06076ff6df2">
      <Url>https://woodsideenergy.sharepoint.com/sites/HSEIntegrationSharePointPage/_layouts/15/DocIdRedir.aspx?ID=XJ754XQMX5V4-487745197-1596</Url>
      <Description>XJ754XQMX5V4-487745197-1596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321CAD-348A-438E-807B-F6E588133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C4CC5-A3B5-4429-BEBD-7DBE49F42A2B}"/>
</file>

<file path=customXml/itemProps3.xml><?xml version="1.0" encoding="utf-8"?>
<ds:datastoreItem xmlns:ds="http://schemas.openxmlformats.org/officeDocument/2006/customXml" ds:itemID="{20E7D6D8-7263-4DE0-8AD9-30F2BFB96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67B6B-7CA3-42C1-8209-6C9D0D8B0FCB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5.xml><?xml version="1.0" encoding="utf-8"?>
<ds:datastoreItem xmlns:ds="http://schemas.openxmlformats.org/officeDocument/2006/customXml" ds:itemID="{0EAF581C-5B13-4E1D-9E99-E0C511602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6034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dc:description>Enter Date in File &gt; Properties &gt; Comments (Day Month Year)</dc:description>
  <cp:lastModifiedBy>Flockton, Jason</cp:lastModifiedBy>
  <cp:revision>4</cp:revision>
  <cp:lastPrinted>2015-10-27T01:50:00Z</cp:lastPrinted>
  <dcterms:created xsi:type="dcterms:W3CDTF">2017-08-03T13:16:00Z</dcterms:created>
  <dcterms:modified xsi:type="dcterms:W3CDTF">2022-10-07T04:57:00Z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Order">
    <vt:r8>42700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dlc_DocIdItemGuid">
    <vt:lpwstr>ff7fb52a-5201-439c-8ac8-33b8d3ddced6</vt:lpwstr>
  </property>
</Properties>
</file>